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2537" w:rsidRDefault="006E2537">
      <w:pPr>
        <w:widowControl w:val="0"/>
        <w:pBdr>
          <w:top w:val="nil"/>
          <w:left w:val="nil"/>
          <w:bottom w:val="nil"/>
          <w:right w:val="nil"/>
          <w:between w:val="nil"/>
        </w:pBdr>
        <w:ind w:firstLine="709"/>
        <w:rPr>
          <w:rFonts w:ascii="Garamond" w:eastAsia="Garamond" w:hAnsi="Garamond" w:cs="Garamond"/>
          <w:color w:val="000000"/>
          <w:sz w:val="24"/>
          <w:szCs w:val="24"/>
        </w:rPr>
      </w:pPr>
    </w:p>
    <w:p w14:paraId="00000002"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03"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04"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05"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06"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07" w14:textId="77777777" w:rsidR="006E2537" w:rsidRDefault="006E2537">
      <w:pPr>
        <w:pBdr>
          <w:top w:val="nil"/>
          <w:left w:val="nil"/>
          <w:bottom w:val="nil"/>
          <w:right w:val="nil"/>
          <w:between w:val="nil"/>
        </w:pBdr>
        <w:ind w:firstLine="709"/>
        <w:jc w:val="center"/>
        <w:rPr>
          <w:rFonts w:ascii="Garamond" w:eastAsia="Garamond" w:hAnsi="Garamond" w:cs="Garamond"/>
          <w:color w:val="000000"/>
          <w:sz w:val="24"/>
          <w:szCs w:val="24"/>
          <w:highlight w:val="yellow"/>
        </w:rPr>
      </w:pPr>
    </w:p>
    <w:p w14:paraId="00000008" w14:textId="77777777" w:rsidR="006E2537" w:rsidRDefault="005B2A41">
      <w:pPr>
        <w:pBdr>
          <w:top w:val="nil"/>
          <w:left w:val="nil"/>
          <w:bottom w:val="nil"/>
          <w:right w:val="nil"/>
          <w:between w:val="nil"/>
        </w:pBdr>
        <w:ind w:firstLine="709"/>
        <w:jc w:val="center"/>
        <w:rPr>
          <w:rFonts w:ascii="Garamond" w:eastAsia="Garamond" w:hAnsi="Garamond" w:cs="Garamond"/>
          <w:color w:val="000000"/>
          <w:sz w:val="24"/>
          <w:szCs w:val="24"/>
        </w:rPr>
      </w:pPr>
      <w:r>
        <w:rPr>
          <w:rFonts w:ascii="Garamond" w:eastAsia="Garamond" w:hAnsi="Garamond" w:cs="Garamond"/>
          <w:b/>
          <w:color w:val="000000"/>
          <w:sz w:val="24"/>
          <w:szCs w:val="24"/>
          <w:u w:val="single"/>
        </w:rPr>
        <w:t xml:space="preserve">R A Z I O N A L I Z </w:t>
      </w:r>
      <w:proofErr w:type="spellStart"/>
      <w:r>
        <w:rPr>
          <w:rFonts w:ascii="Garamond" w:eastAsia="Garamond" w:hAnsi="Garamond" w:cs="Garamond"/>
          <w:b/>
          <w:color w:val="000000"/>
          <w:sz w:val="24"/>
          <w:szCs w:val="24"/>
          <w:u w:val="single"/>
        </w:rPr>
        <w:t>Z</w:t>
      </w:r>
      <w:proofErr w:type="spellEnd"/>
      <w:r>
        <w:rPr>
          <w:rFonts w:ascii="Garamond" w:eastAsia="Garamond" w:hAnsi="Garamond" w:cs="Garamond"/>
          <w:b/>
          <w:color w:val="000000"/>
          <w:sz w:val="24"/>
          <w:szCs w:val="24"/>
          <w:u w:val="single"/>
        </w:rPr>
        <w:t xml:space="preserve"> A Z I O N E</w:t>
      </w:r>
    </w:p>
    <w:p w14:paraId="00000009" w14:textId="77777777" w:rsidR="006E2537" w:rsidRDefault="005B2A41">
      <w:pPr>
        <w:pBdr>
          <w:top w:val="nil"/>
          <w:left w:val="nil"/>
          <w:bottom w:val="nil"/>
          <w:right w:val="nil"/>
          <w:between w:val="nil"/>
        </w:pBdr>
        <w:ind w:firstLine="709"/>
        <w:jc w:val="center"/>
        <w:rPr>
          <w:rFonts w:ascii="Garamond" w:eastAsia="Garamond" w:hAnsi="Garamond" w:cs="Garamond"/>
          <w:color w:val="000000"/>
          <w:sz w:val="24"/>
          <w:szCs w:val="24"/>
        </w:rPr>
      </w:pPr>
      <w:r>
        <w:rPr>
          <w:rFonts w:ascii="Garamond" w:eastAsia="Garamond" w:hAnsi="Garamond" w:cs="Garamond"/>
          <w:b/>
          <w:color w:val="000000"/>
          <w:sz w:val="24"/>
          <w:szCs w:val="24"/>
          <w:u w:val="single"/>
        </w:rPr>
        <w:t>P   E   R   I   O   D   I   C   A</w:t>
      </w:r>
    </w:p>
    <w:p w14:paraId="0000000A" w14:textId="77777777" w:rsidR="006E2537" w:rsidRDefault="005B2A41">
      <w:pPr>
        <w:pBdr>
          <w:top w:val="nil"/>
          <w:left w:val="nil"/>
          <w:bottom w:val="nil"/>
          <w:right w:val="nil"/>
          <w:between w:val="nil"/>
        </w:pBdr>
        <w:ind w:firstLine="709"/>
        <w:jc w:val="center"/>
        <w:rPr>
          <w:rFonts w:ascii="Garamond" w:eastAsia="Garamond" w:hAnsi="Garamond" w:cs="Garamond"/>
          <w:color w:val="000000"/>
          <w:sz w:val="24"/>
          <w:szCs w:val="24"/>
        </w:rPr>
      </w:pPr>
      <w:r>
        <w:rPr>
          <w:rFonts w:ascii="Garamond" w:eastAsia="Garamond" w:hAnsi="Garamond" w:cs="Garamond"/>
          <w:b/>
          <w:i/>
          <w:color w:val="000000"/>
          <w:sz w:val="24"/>
          <w:szCs w:val="24"/>
          <w:u w:val="single"/>
        </w:rPr>
        <w:t>EX</w:t>
      </w:r>
      <w:r>
        <w:rPr>
          <w:rFonts w:ascii="Garamond" w:eastAsia="Garamond" w:hAnsi="Garamond" w:cs="Garamond"/>
          <w:b/>
          <w:color w:val="000000"/>
          <w:sz w:val="24"/>
          <w:szCs w:val="24"/>
          <w:u w:val="single"/>
        </w:rPr>
        <w:t xml:space="preserve"> ART. 20 D. LGS. 19 AGOSTO 2016 N. 175</w:t>
      </w:r>
    </w:p>
    <w:p w14:paraId="0000000B" w14:textId="77777777" w:rsidR="006E2537" w:rsidRDefault="006E2537">
      <w:pPr>
        <w:pBdr>
          <w:top w:val="nil"/>
          <w:left w:val="nil"/>
          <w:bottom w:val="nil"/>
          <w:right w:val="nil"/>
          <w:between w:val="nil"/>
        </w:pBdr>
        <w:ind w:firstLine="709"/>
        <w:jc w:val="center"/>
        <w:rPr>
          <w:rFonts w:ascii="Garamond" w:eastAsia="Garamond" w:hAnsi="Garamond" w:cs="Garamond"/>
          <w:color w:val="000000"/>
          <w:sz w:val="24"/>
          <w:szCs w:val="24"/>
          <w:u w:val="single"/>
        </w:rPr>
      </w:pPr>
    </w:p>
    <w:p w14:paraId="0000000C"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u w:val="single"/>
        </w:rPr>
      </w:pPr>
    </w:p>
    <w:p w14:paraId="0000000D" w14:textId="77777777" w:rsidR="006E2537" w:rsidRPr="00773A48" w:rsidRDefault="006E2537">
      <w:pPr>
        <w:pBdr>
          <w:top w:val="nil"/>
          <w:left w:val="nil"/>
          <w:bottom w:val="nil"/>
          <w:right w:val="nil"/>
          <w:between w:val="nil"/>
        </w:pBdr>
        <w:spacing w:after="200"/>
        <w:ind w:firstLine="709"/>
        <w:jc w:val="both"/>
        <w:rPr>
          <w:rFonts w:ascii="Garamond" w:eastAsia="Garamond" w:hAnsi="Garamond" w:cs="Garamond"/>
          <w:color w:val="000000"/>
          <w:sz w:val="24"/>
          <w:szCs w:val="24"/>
          <w:u w:val="single"/>
        </w:rPr>
      </w:pPr>
    </w:p>
    <w:p w14:paraId="0000000E" w14:textId="77777777" w:rsidR="006E2537" w:rsidRPr="00773A48" w:rsidRDefault="005B2A41">
      <w:pPr>
        <w:pBdr>
          <w:top w:val="nil"/>
          <w:left w:val="nil"/>
          <w:bottom w:val="nil"/>
          <w:right w:val="nil"/>
          <w:between w:val="nil"/>
        </w:pBdr>
        <w:spacing w:after="200"/>
        <w:ind w:firstLine="709"/>
        <w:jc w:val="both"/>
        <w:rPr>
          <w:rFonts w:ascii="Garamond" w:eastAsia="Garamond" w:hAnsi="Garamond" w:cs="Garamond"/>
          <w:color w:val="000000"/>
          <w:sz w:val="24"/>
          <w:szCs w:val="24"/>
        </w:rPr>
      </w:pPr>
      <w:r w:rsidRPr="00773A48">
        <w:rPr>
          <w:rFonts w:ascii="Garamond" w:eastAsia="Garamond" w:hAnsi="Garamond" w:cs="Garamond"/>
          <w:color w:val="000000"/>
          <w:sz w:val="24"/>
          <w:szCs w:val="24"/>
        </w:rPr>
        <w:t>Adottata dal Consiglio Comunale con delibera n. _______ del _____________</w:t>
      </w:r>
    </w:p>
    <w:p w14:paraId="0000000F" w14:textId="77777777" w:rsidR="006E2537" w:rsidRPr="00773A48"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rPr>
      </w:pPr>
    </w:p>
    <w:p w14:paraId="00000010"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1"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2"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3"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4"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5"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6"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7"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8"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9"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A"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B"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C"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D"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highlight w:val="yellow"/>
        </w:rPr>
      </w:pPr>
    </w:p>
    <w:p w14:paraId="0000001E" w14:textId="77777777" w:rsidR="006E2537" w:rsidRDefault="006E2537">
      <w:pPr>
        <w:pBdr>
          <w:top w:val="nil"/>
          <w:left w:val="nil"/>
          <w:bottom w:val="nil"/>
          <w:right w:val="nil"/>
          <w:between w:val="nil"/>
        </w:pBdr>
        <w:ind w:firstLine="709"/>
        <w:jc w:val="center"/>
        <w:rPr>
          <w:rFonts w:ascii="Garamond" w:eastAsia="Garamond" w:hAnsi="Garamond" w:cs="Garamond"/>
          <w:color w:val="000000"/>
          <w:sz w:val="24"/>
          <w:szCs w:val="24"/>
          <w:highlight w:val="yellow"/>
          <w:u w:val="single"/>
        </w:rPr>
      </w:pPr>
    </w:p>
    <w:p w14:paraId="0000001F" w14:textId="77777777" w:rsidR="006E2537" w:rsidRDefault="006E2537">
      <w:pPr>
        <w:pBdr>
          <w:top w:val="nil"/>
          <w:left w:val="nil"/>
          <w:bottom w:val="nil"/>
          <w:right w:val="nil"/>
          <w:between w:val="nil"/>
        </w:pBdr>
        <w:ind w:firstLine="709"/>
        <w:jc w:val="center"/>
        <w:rPr>
          <w:rFonts w:ascii="Garamond" w:eastAsia="Garamond" w:hAnsi="Garamond" w:cs="Garamond"/>
          <w:color w:val="000000"/>
          <w:sz w:val="24"/>
          <w:szCs w:val="24"/>
          <w:highlight w:val="yellow"/>
          <w:u w:val="single"/>
        </w:rPr>
      </w:pPr>
    </w:p>
    <w:p w14:paraId="00000020" w14:textId="77777777" w:rsidR="006E2537" w:rsidRDefault="006E2537">
      <w:pPr>
        <w:pBdr>
          <w:top w:val="nil"/>
          <w:left w:val="nil"/>
          <w:bottom w:val="nil"/>
          <w:right w:val="nil"/>
          <w:between w:val="nil"/>
        </w:pBdr>
        <w:ind w:firstLine="709"/>
        <w:jc w:val="center"/>
        <w:rPr>
          <w:rFonts w:ascii="Garamond" w:eastAsia="Garamond" w:hAnsi="Garamond" w:cs="Garamond"/>
          <w:color w:val="000000"/>
          <w:sz w:val="24"/>
          <w:szCs w:val="24"/>
          <w:highlight w:val="yellow"/>
          <w:u w:val="single"/>
        </w:rPr>
      </w:pPr>
    </w:p>
    <w:p w14:paraId="00000021"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center"/>
        <w:rPr>
          <w:rFonts w:ascii="Garamond" w:eastAsia="Garamond" w:hAnsi="Garamond" w:cs="Garamond"/>
          <w:color w:val="000000"/>
          <w:sz w:val="24"/>
          <w:szCs w:val="24"/>
        </w:rPr>
      </w:pPr>
      <w:r>
        <w:rPr>
          <w:rFonts w:ascii="Garamond" w:eastAsia="Garamond" w:hAnsi="Garamond" w:cs="Garamond"/>
          <w:color w:val="000000"/>
          <w:sz w:val="24"/>
          <w:szCs w:val="24"/>
          <w:u w:val="single"/>
        </w:rPr>
        <w:lastRenderedPageBreak/>
        <w:t>I N D I C E</w:t>
      </w:r>
    </w:p>
    <w:p w14:paraId="00000022"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23"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1)</w:t>
      </w:r>
      <w:r>
        <w:rPr>
          <w:rFonts w:ascii="Garamond" w:eastAsia="Garamond" w:hAnsi="Garamond" w:cs="Garamond"/>
          <w:b/>
          <w:color w:val="000000"/>
          <w:sz w:val="24"/>
          <w:szCs w:val="24"/>
          <w:u w:val="single"/>
        </w:rPr>
        <w:t>Partecipazioni dirette</w:t>
      </w:r>
    </w:p>
    <w:p w14:paraId="00000024"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25"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1.1 </w:t>
      </w:r>
      <w:r>
        <w:rPr>
          <w:rFonts w:ascii="Garamond" w:eastAsia="Garamond" w:hAnsi="Garamond" w:cs="Garamond"/>
          <w:color w:val="000000"/>
          <w:sz w:val="24"/>
          <w:szCs w:val="24"/>
        </w:rPr>
        <w:t>SCRP S.p.A. in liquidazione – pag. 2</w:t>
      </w:r>
    </w:p>
    <w:p w14:paraId="00000026"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27"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1.2 </w:t>
      </w:r>
      <w:r>
        <w:rPr>
          <w:rFonts w:ascii="Garamond" w:eastAsia="Garamond" w:hAnsi="Garamond" w:cs="Garamond"/>
          <w:color w:val="000000"/>
          <w:sz w:val="24"/>
          <w:szCs w:val="24"/>
        </w:rPr>
        <w:t>Padania Acque S.p.A. – pag. 4</w:t>
      </w:r>
    </w:p>
    <w:p w14:paraId="00000028"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29"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2A"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2)</w:t>
      </w:r>
      <w:r>
        <w:rPr>
          <w:rFonts w:ascii="Garamond" w:eastAsia="Garamond" w:hAnsi="Garamond" w:cs="Garamond"/>
          <w:b/>
          <w:color w:val="000000"/>
          <w:sz w:val="24"/>
          <w:szCs w:val="24"/>
          <w:u w:val="single"/>
        </w:rPr>
        <w:t>Partecipazioni indirette e assimilate</w:t>
      </w:r>
    </w:p>
    <w:p w14:paraId="0000002B"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2C"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2.1. </w:t>
      </w:r>
      <w:r>
        <w:rPr>
          <w:rFonts w:ascii="Garamond" w:eastAsia="Garamond" w:hAnsi="Garamond" w:cs="Garamond"/>
          <w:color w:val="000000"/>
          <w:sz w:val="24"/>
          <w:szCs w:val="24"/>
        </w:rPr>
        <w:t>Consorzio Informatica Territorio S.p.A. – pag. 5</w:t>
      </w:r>
    </w:p>
    <w:p w14:paraId="0000002D"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2E"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2.2. </w:t>
      </w:r>
      <w:r>
        <w:rPr>
          <w:rFonts w:ascii="Garamond" w:eastAsia="Garamond" w:hAnsi="Garamond" w:cs="Garamond"/>
          <w:color w:val="000000"/>
          <w:sz w:val="24"/>
          <w:szCs w:val="24"/>
        </w:rPr>
        <w:t>S.C.S. s.r.l. (e mediante questa LGH S.p.A.) – pag. 6</w:t>
      </w:r>
    </w:p>
    <w:p w14:paraId="0000002F" w14:textId="77777777" w:rsidR="006E2537" w:rsidRDefault="006E2537">
      <w:pPr>
        <w:pBdr>
          <w:top w:val="single" w:sz="4" w:space="1" w:color="000000"/>
          <w:left w:val="single" w:sz="4" w:space="4" w:color="000000"/>
          <w:bottom w:val="single" w:sz="4" w:space="1" w:color="000000"/>
          <w:right w:val="single" w:sz="4" w:space="4" w:color="000000"/>
          <w:between w:val="nil"/>
        </w:pBdr>
        <w:jc w:val="both"/>
        <w:rPr>
          <w:rFonts w:ascii="Garamond" w:eastAsia="Garamond" w:hAnsi="Garamond" w:cs="Garamond"/>
          <w:color w:val="000000"/>
          <w:sz w:val="24"/>
          <w:szCs w:val="24"/>
        </w:rPr>
      </w:pPr>
    </w:p>
    <w:p w14:paraId="00000030"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2.3 </w:t>
      </w:r>
      <w:r>
        <w:rPr>
          <w:rFonts w:ascii="Garamond" w:eastAsia="Garamond" w:hAnsi="Garamond" w:cs="Garamond"/>
          <w:color w:val="000000"/>
          <w:sz w:val="24"/>
          <w:szCs w:val="24"/>
        </w:rPr>
        <w:t xml:space="preserve">REI </w:t>
      </w:r>
      <w:proofErr w:type="spellStart"/>
      <w:r>
        <w:rPr>
          <w:rFonts w:ascii="Garamond" w:eastAsia="Garamond" w:hAnsi="Garamond" w:cs="Garamond"/>
          <w:color w:val="000000"/>
          <w:sz w:val="24"/>
          <w:szCs w:val="24"/>
        </w:rPr>
        <w:t>Reindustria</w:t>
      </w:r>
      <w:proofErr w:type="spellEnd"/>
      <w:r>
        <w:rPr>
          <w:rFonts w:ascii="Garamond" w:eastAsia="Garamond" w:hAnsi="Garamond" w:cs="Garamond"/>
          <w:color w:val="000000"/>
          <w:sz w:val="24"/>
          <w:szCs w:val="24"/>
        </w:rPr>
        <w:t xml:space="preserve"> Innovazione </w:t>
      </w:r>
      <w:proofErr w:type="spellStart"/>
      <w:r>
        <w:rPr>
          <w:rFonts w:ascii="Garamond" w:eastAsia="Garamond" w:hAnsi="Garamond" w:cs="Garamond"/>
          <w:color w:val="000000"/>
          <w:sz w:val="24"/>
          <w:szCs w:val="24"/>
        </w:rPr>
        <w:t>s.c.r.l</w:t>
      </w:r>
      <w:proofErr w:type="spellEnd"/>
      <w:r>
        <w:rPr>
          <w:rFonts w:ascii="Garamond" w:eastAsia="Garamond" w:hAnsi="Garamond" w:cs="Garamond"/>
          <w:color w:val="000000"/>
          <w:sz w:val="24"/>
          <w:szCs w:val="24"/>
        </w:rPr>
        <w:t>. – pag.</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10</w:t>
      </w:r>
    </w:p>
    <w:p w14:paraId="00000031"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32"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2.4 </w:t>
      </w:r>
      <w:r>
        <w:rPr>
          <w:rFonts w:ascii="Garamond" w:eastAsia="Garamond" w:hAnsi="Garamond" w:cs="Garamond"/>
          <w:color w:val="000000"/>
          <w:sz w:val="24"/>
          <w:szCs w:val="24"/>
        </w:rPr>
        <w:t>GAL Terre del Po – pag. 12</w:t>
      </w:r>
    </w:p>
    <w:p w14:paraId="00000033"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34"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2.5 </w:t>
      </w:r>
      <w:r>
        <w:rPr>
          <w:rFonts w:ascii="Garamond" w:eastAsia="Garamond" w:hAnsi="Garamond" w:cs="Garamond"/>
          <w:color w:val="000000"/>
          <w:sz w:val="24"/>
          <w:szCs w:val="24"/>
        </w:rPr>
        <w:t>GAL Oglio Po – pag. 13</w:t>
      </w:r>
    </w:p>
    <w:p w14:paraId="00000035" w14:textId="77777777" w:rsidR="006E2537" w:rsidRDefault="006E2537">
      <w:pPr>
        <w:pBdr>
          <w:top w:val="single" w:sz="4" w:space="1" w:color="000000"/>
          <w:left w:val="single" w:sz="4" w:space="4" w:color="000000"/>
          <w:bottom w:val="single" w:sz="4" w:space="1" w:color="000000"/>
          <w:right w:val="single" w:sz="4" w:space="4" w:color="000000"/>
          <w:between w:val="nil"/>
        </w:pBdr>
        <w:jc w:val="both"/>
        <w:rPr>
          <w:rFonts w:ascii="Garamond" w:eastAsia="Garamond" w:hAnsi="Garamond" w:cs="Garamond"/>
          <w:color w:val="000000"/>
          <w:sz w:val="24"/>
          <w:szCs w:val="24"/>
        </w:rPr>
      </w:pPr>
    </w:p>
    <w:p w14:paraId="00000036"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37"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3) </w:t>
      </w:r>
      <w:r>
        <w:rPr>
          <w:rFonts w:ascii="Garamond" w:eastAsia="Garamond" w:hAnsi="Garamond" w:cs="Garamond"/>
          <w:b/>
          <w:color w:val="000000"/>
          <w:sz w:val="24"/>
          <w:szCs w:val="24"/>
          <w:u w:val="single"/>
        </w:rPr>
        <w:t>Piano di razionalizzazione</w:t>
      </w:r>
    </w:p>
    <w:p w14:paraId="00000038"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39"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3.1</w:t>
      </w:r>
      <w:r>
        <w:rPr>
          <w:rFonts w:ascii="Garamond" w:eastAsia="Garamond" w:hAnsi="Garamond" w:cs="Garamond"/>
          <w:color w:val="000000"/>
          <w:sz w:val="24"/>
          <w:szCs w:val="24"/>
        </w:rPr>
        <w:t xml:space="preserve"> Aggiornamento del piano di razionalizzazione – pag. 14</w:t>
      </w:r>
    </w:p>
    <w:p w14:paraId="0000003A"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3B"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r>
        <w:rPr>
          <w:rFonts w:ascii="Garamond" w:eastAsia="Garamond" w:hAnsi="Garamond" w:cs="Garamond"/>
          <w:b/>
          <w:color w:val="000000"/>
          <w:sz w:val="24"/>
          <w:szCs w:val="24"/>
        </w:rPr>
        <w:t>3.2</w:t>
      </w:r>
      <w:r>
        <w:rPr>
          <w:rFonts w:ascii="Garamond" w:eastAsia="Garamond" w:hAnsi="Garamond" w:cs="Garamond"/>
          <w:color w:val="000000"/>
          <w:sz w:val="24"/>
          <w:szCs w:val="24"/>
        </w:rPr>
        <w:t xml:space="preserve"> Relazione sull’attuazione del piano di razionalizzazione – pag. 15</w:t>
      </w:r>
    </w:p>
    <w:p w14:paraId="0000003C" w14:textId="77777777" w:rsidR="006E2537" w:rsidRDefault="006E2537">
      <w:pPr>
        <w:pBdr>
          <w:top w:val="single" w:sz="4" w:space="1" w:color="000000"/>
          <w:left w:val="single" w:sz="4" w:space="4" w:color="000000"/>
          <w:bottom w:val="single" w:sz="4" w:space="1" w:color="000000"/>
          <w:right w:val="single" w:sz="4" w:space="4" w:color="000000"/>
          <w:between w:val="nil"/>
        </w:pBdr>
        <w:ind w:firstLine="709"/>
        <w:jc w:val="both"/>
        <w:rPr>
          <w:rFonts w:ascii="Garamond" w:eastAsia="Garamond" w:hAnsi="Garamond" w:cs="Garamond"/>
          <w:color w:val="000000"/>
          <w:sz w:val="24"/>
          <w:szCs w:val="24"/>
        </w:rPr>
      </w:pPr>
    </w:p>
    <w:p w14:paraId="0000003D"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3E" w14:textId="77777777" w:rsidR="006E2537" w:rsidRDefault="005B2A41">
      <w:pPr>
        <w:pBdr>
          <w:top w:val="nil"/>
          <w:left w:val="nil"/>
          <w:bottom w:val="nil"/>
          <w:right w:val="nil"/>
          <w:between w:val="nil"/>
        </w:pBdr>
        <w:ind w:firstLine="709"/>
        <w:jc w:val="center"/>
        <w:rPr>
          <w:rFonts w:ascii="Garamond" w:eastAsia="Garamond" w:hAnsi="Garamond" w:cs="Garamond"/>
          <w:color w:val="000000"/>
          <w:sz w:val="24"/>
          <w:szCs w:val="24"/>
        </w:rPr>
      </w:pPr>
      <w:r>
        <w:rPr>
          <w:rFonts w:ascii="Garamond" w:eastAsia="Garamond" w:hAnsi="Garamond" w:cs="Garamond"/>
          <w:b/>
          <w:color w:val="000000"/>
          <w:sz w:val="24"/>
          <w:szCs w:val="24"/>
        </w:rPr>
        <w:t>***</w:t>
      </w:r>
    </w:p>
    <w:p w14:paraId="0000003F" w14:textId="77777777" w:rsidR="006E2537" w:rsidRDefault="006E2537">
      <w:pPr>
        <w:pBdr>
          <w:top w:val="nil"/>
          <w:left w:val="nil"/>
          <w:bottom w:val="nil"/>
          <w:right w:val="nil"/>
          <w:between w:val="nil"/>
        </w:pBdr>
        <w:ind w:firstLine="709"/>
        <w:jc w:val="center"/>
        <w:rPr>
          <w:rFonts w:ascii="Garamond" w:eastAsia="Garamond" w:hAnsi="Garamond" w:cs="Garamond"/>
          <w:color w:val="000000"/>
          <w:sz w:val="24"/>
          <w:szCs w:val="24"/>
        </w:rPr>
      </w:pPr>
    </w:p>
    <w:p w14:paraId="00000040" w14:textId="77777777" w:rsidR="006E2537" w:rsidRDefault="006E2537">
      <w:pPr>
        <w:pBdr>
          <w:top w:val="nil"/>
          <w:left w:val="nil"/>
          <w:bottom w:val="nil"/>
          <w:right w:val="nil"/>
          <w:between w:val="nil"/>
        </w:pBdr>
        <w:ind w:firstLine="709"/>
        <w:jc w:val="center"/>
        <w:rPr>
          <w:rFonts w:ascii="Garamond" w:eastAsia="Garamond" w:hAnsi="Garamond" w:cs="Garamond"/>
          <w:color w:val="000000"/>
          <w:sz w:val="24"/>
          <w:szCs w:val="24"/>
        </w:rPr>
      </w:pPr>
    </w:p>
    <w:p w14:paraId="00000041"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center"/>
        <w:rPr>
          <w:rFonts w:ascii="Garamond" w:eastAsia="Garamond" w:hAnsi="Garamond" w:cs="Garamond"/>
          <w:color w:val="000000"/>
          <w:sz w:val="24"/>
          <w:szCs w:val="24"/>
        </w:rPr>
      </w:pPr>
      <w:r>
        <w:rPr>
          <w:rFonts w:ascii="Garamond" w:eastAsia="Garamond" w:hAnsi="Garamond" w:cs="Garamond"/>
          <w:b/>
          <w:color w:val="000000"/>
          <w:sz w:val="24"/>
          <w:szCs w:val="24"/>
          <w:u w:val="single"/>
        </w:rPr>
        <w:t>1. Partecipazioni dirette.</w:t>
      </w:r>
    </w:p>
    <w:p w14:paraId="00000042"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43" w14:textId="77777777" w:rsidR="006E2537" w:rsidRDefault="005B2A41">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i/>
          <w:color w:val="000000"/>
          <w:sz w:val="24"/>
          <w:szCs w:val="24"/>
          <w:u w:val="single"/>
        </w:rPr>
        <w:t>1.1. – S.C.R.P. Società Cremasca Reti e Patrimonio S.p.A. in liquidazione</w:t>
      </w:r>
    </w:p>
    <w:p w14:paraId="00000044"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45"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 società ha sede in Crema alla via del Commercio 29, Codice Fiscale 91001260198, ed è stata posta </w:t>
      </w:r>
      <w:r>
        <w:rPr>
          <w:rFonts w:ascii="Garamond" w:eastAsia="Garamond" w:hAnsi="Garamond" w:cs="Garamond"/>
          <w:b/>
          <w:color w:val="000000"/>
          <w:sz w:val="24"/>
          <w:szCs w:val="24"/>
          <w:u w:val="single"/>
        </w:rPr>
        <w:t>in liquidazione</w:t>
      </w:r>
      <w:r>
        <w:rPr>
          <w:rFonts w:ascii="Garamond" w:eastAsia="Garamond" w:hAnsi="Garamond" w:cs="Garamond"/>
          <w:color w:val="000000"/>
          <w:sz w:val="24"/>
          <w:szCs w:val="24"/>
        </w:rPr>
        <w:t xml:space="preserve"> dall'Assemblea dei soci, con delibera in seduta straordinaria del 6 dicembre 2018, iscritta il 17 dicembre 2018.</w:t>
      </w:r>
    </w:p>
    <w:p w14:paraId="00000046"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47" w14:textId="32B86292"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capitale sociale deliberato, sottoscritto e versato, è di euro 2 milioni, suddiviso in 400mila azioni del valore nominale di </w:t>
      </w:r>
      <w:r w:rsidRPr="00514D4A">
        <w:rPr>
          <w:rFonts w:ascii="Garamond" w:eastAsia="Garamond" w:hAnsi="Garamond" w:cs="Garamond"/>
          <w:color w:val="000000"/>
          <w:sz w:val="24"/>
          <w:szCs w:val="24"/>
        </w:rPr>
        <w:t xml:space="preserve">euro 5,00. Il Comune di </w:t>
      </w:r>
      <w:r w:rsidR="00604C82" w:rsidRPr="00514D4A">
        <w:rPr>
          <w:rFonts w:ascii="Garamond" w:eastAsia="Garamond" w:hAnsi="Garamond" w:cs="Garamond"/>
          <w:color w:val="000000"/>
          <w:sz w:val="24"/>
          <w:szCs w:val="24"/>
        </w:rPr>
        <w:t>Madignano</w:t>
      </w:r>
      <w:r w:rsidRPr="00514D4A">
        <w:rPr>
          <w:rFonts w:ascii="Garamond" w:eastAsia="Garamond" w:hAnsi="Garamond" w:cs="Garamond"/>
          <w:color w:val="000000"/>
          <w:sz w:val="24"/>
          <w:szCs w:val="24"/>
        </w:rPr>
        <w:t xml:space="preserve"> detiene </w:t>
      </w:r>
      <w:r w:rsidR="00604C82" w:rsidRPr="00514D4A">
        <w:rPr>
          <w:rFonts w:ascii="Garamond" w:eastAsia="Garamond" w:hAnsi="Garamond" w:cs="Garamond"/>
          <w:color w:val="000000"/>
          <w:sz w:val="24"/>
          <w:szCs w:val="24"/>
        </w:rPr>
        <w:t>8.640</w:t>
      </w:r>
      <w:r w:rsidRPr="00514D4A">
        <w:rPr>
          <w:rFonts w:ascii="Garamond" w:eastAsia="Garamond" w:hAnsi="Garamond" w:cs="Garamond"/>
          <w:color w:val="000000"/>
          <w:sz w:val="24"/>
          <w:szCs w:val="24"/>
        </w:rPr>
        <w:t xml:space="preserve"> azioni, pari a nominali</w:t>
      </w:r>
      <w:r w:rsidR="00604C82" w:rsidRPr="00514D4A">
        <w:rPr>
          <w:rFonts w:ascii="Garamond" w:eastAsia="Garamond" w:hAnsi="Garamond" w:cs="Garamond"/>
          <w:color w:val="000000"/>
          <w:sz w:val="24"/>
          <w:szCs w:val="24"/>
        </w:rPr>
        <w:t xml:space="preserve"> </w:t>
      </w:r>
      <w:r w:rsidR="00514D4A" w:rsidRPr="00514D4A">
        <w:rPr>
          <w:rFonts w:ascii="Garamond" w:eastAsia="Garamond" w:hAnsi="Garamond" w:cs="Garamond"/>
          <w:color w:val="000000"/>
          <w:sz w:val="24"/>
          <w:szCs w:val="24"/>
        </w:rPr>
        <w:t>43.200</w:t>
      </w:r>
      <w:r w:rsidRPr="00514D4A">
        <w:rPr>
          <w:rFonts w:ascii="Garamond" w:eastAsia="Garamond" w:hAnsi="Garamond" w:cs="Garamond"/>
          <w:color w:val="000000"/>
          <w:sz w:val="24"/>
          <w:szCs w:val="24"/>
        </w:rPr>
        <w:t xml:space="preserve"> euro. Per conseguenza, è socio nella misura del </w:t>
      </w:r>
      <w:r w:rsidR="00604C82" w:rsidRPr="00514D4A">
        <w:rPr>
          <w:rFonts w:ascii="Garamond" w:eastAsia="Garamond" w:hAnsi="Garamond" w:cs="Garamond"/>
          <w:color w:val="000000"/>
          <w:sz w:val="24"/>
          <w:szCs w:val="24"/>
        </w:rPr>
        <w:t>2,16%</w:t>
      </w:r>
      <w:r w:rsidRPr="00514D4A">
        <w:rPr>
          <w:rFonts w:ascii="Garamond" w:eastAsia="Garamond" w:hAnsi="Garamond" w:cs="Garamond"/>
          <w:color w:val="000000"/>
          <w:sz w:val="24"/>
          <w:szCs w:val="24"/>
        </w:rPr>
        <w:t>.</w:t>
      </w:r>
    </w:p>
    <w:p w14:paraId="00000048"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49"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In conformità ai criteri direttivi fissati in sede di messa in liquidazione, la società sta proseguendo, in esercizio provvisorio, le attività concernenti:</w:t>
      </w:r>
    </w:p>
    <w:p w14:paraId="0000004A" w14:textId="77777777" w:rsidR="006E2537" w:rsidRDefault="005B2A41">
      <w:p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 la gestione e manutenzione di impianti fotovoltaici;</w:t>
      </w:r>
    </w:p>
    <w:p w14:paraId="0000004B" w14:textId="77777777" w:rsidR="006E2537" w:rsidRDefault="005B2A41">
      <w:p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 la gestione e manutenzione di piattaforme sovracomunali;</w:t>
      </w:r>
    </w:p>
    <w:p w14:paraId="0000004C"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la gestione e manutenzione del canile sovracomunale;</w:t>
      </w:r>
    </w:p>
    <w:p w14:paraId="0000004D"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la gestione delle partecipazioni societarie;</w:t>
      </w:r>
    </w:p>
    <w:p w14:paraId="0000004E" w14:textId="77777777" w:rsidR="006E2537" w:rsidRDefault="005B2A41">
      <w:p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 la gestione della centrale unica di committenza dei comuni del Cremasco, mediante la controllata Consorzio Informatico Territorio S.p.A.;</w:t>
      </w:r>
    </w:p>
    <w:p w14:paraId="0000004F"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i rapporti di partecipazione in LGH, tramite la controllata SCS s.r.l..</w:t>
      </w:r>
    </w:p>
    <w:p w14:paraId="00000050"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51"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Parimenti in aderenza agli obiettivi posti in sede di messa in liquidazione, nonché nelle precedenti deliberazioni comunali assunte ai sensi dell’art. 24 e dell’art. 20,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a seguito dell’approvazione del bilancio d’esercizio 2020, la società ha avviato il percorso societario per il conferimento alla controllata Consorzio Informatica Territorio S.p.A. del ramo d’azienda relativo a tutte le residue gestioni operative rimaste in capo ad SCRP. Il perito all’uopo nominato dal Tribunale di Brescia sta procedendo alla valutazione patrimoniale, economica e finanziaria del predetto ramo. Il perfezionamento del conferimento, previa l’assunzione delle necessarie deliberazioni assembleari delle due società interessate, è previsto per il 31 dicembre 2021.</w:t>
      </w:r>
    </w:p>
    <w:p w14:paraId="00000052"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Dopo il conferimento, la liquidazione di SCRP proseguirà essenzialmente e prudenzialmente ai fini della gestione (con la necessaria provvista economica) della causa di recesso intentata dai Comuni soci di Casale Cremasco, Casaletto di Sopra, Palazzo Pignano, Romanengo, Salvirola, Ticengo e Trescore Cremasco, attualmente pendente avanti alla Corte d’Appello di Brescia, innanzi alla quale SCRP ha impugnato il lodo arbitrale favorevole alle rivendicazioni dei predetti enti soci. </w:t>
      </w:r>
    </w:p>
    <w:p w14:paraId="00000053"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54"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Con riferimento ai parametri di cui all’art. 20, comma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si rileva quanto segue:</w:t>
      </w:r>
    </w:p>
    <w:p w14:paraId="00000055" w14:textId="77777777" w:rsidR="006E2537" w:rsidRDefault="005B2A41">
      <w:pPr>
        <w:numPr>
          <w:ilvl w:val="0"/>
          <w:numId w:val="4"/>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SCRP svolge attività inquadrabili nelle categorie dei servizi di interesse generale e dei servizi strumentali, di cui all’art. 4, comma 2, lettere a) e d),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nell’ambito delle finalità istituzionali dei Comuni soci;</w:t>
      </w:r>
    </w:p>
    <w:p w14:paraId="00000056" w14:textId="77777777" w:rsidR="006E2537" w:rsidRDefault="005B2A41">
      <w:pPr>
        <w:numPr>
          <w:ilvl w:val="0"/>
          <w:numId w:val="4"/>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a seguito della messa in liquidazione, la società è amministrata da un liquidatore unico, mentre per ciò che concerne i dipendenti, in base all’ultimo bilancio, dell’esercizio 2020, risultano essere 7;</w:t>
      </w:r>
    </w:p>
    <w:p w14:paraId="00000057" w14:textId="77777777" w:rsidR="006E2537" w:rsidRDefault="005B2A41">
      <w:pPr>
        <w:numPr>
          <w:ilvl w:val="0"/>
          <w:numId w:val="4"/>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non vi sono altre società, partecipate dal Comune, che svolgano attività analoghe o similari a quelle di SCRP;</w:t>
      </w:r>
    </w:p>
    <w:p w14:paraId="00000058" w14:textId="77777777" w:rsidR="006E2537" w:rsidRDefault="005B2A41">
      <w:pPr>
        <w:numPr>
          <w:ilvl w:val="0"/>
          <w:numId w:val="4"/>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il fatturato medio annuo del triennio 2018/2020 è risultato superiore al milione di euro;</w:t>
      </w:r>
    </w:p>
    <w:p w14:paraId="00000059" w14:textId="77777777" w:rsidR="006E2537" w:rsidRDefault="005B2A41">
      <w:pPr>
        <w:numPr>
          <w:ilvl w:val="0"/>
          <w:numId w:val="4"/>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in disparte dello svolgimento da parte di SCRP di attività qualificabili come servizi di interesse generale, non si è comunque verificata la circostanza della chiusura in negativo di quattro dei cinque ultimi bilanci (nell’esercizio 2020 si è registrato un utile netto di € 1.131, nel precedente esercizio 2019 l’utile era stato di € 1.523);</w:t>
      </w:r>
    </w:p>
    <w:p w14:paraId="0000005A" w14:textId="77777777" w:rsidR="006E2537" w:rsidRDefault="005B2A41">
      <w:pPr>
        <w:numPr>
          <w:ilvl w:val="0"/>
          <w:numId w:val="4"/>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alla luce dell’andamento dei conti della società, non risultano necessari interventi di ulteriore contenimento dei costi di funzionamento, posto che la società ha efficientato la propria organizzazione attraverso la gestione condivisa di funzioni aziendali anche a servizio delle controllate Consorzio Informatica Territorio S.p.A. ed SCS s.r.l.; in ogni caso, il perfezionamento del conferimento in Consorzio Informatica Territorio del ramo d’azienda operativo consentirà un’ulteriore razionalizzazione dei costi operativi;</w:t>
      </w:r>
    </w:p>
    <w:p w14:paraId="0000005B" w14:textId="1C43179B" w:rsidR="006E2537" w:rsidRDefault="005B2A41">
      <w:pPr>
        <w:numPr>
          <w:ilvl w:val="0"/>
          <w:numId w:val="4"/>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non risultano necessarie aggregazioni societarie, poiché la società è in stato di liquidazione, il cui iter si concluderà con la definizione del </w:t>
      </w:r>
      <w:r>
        <w:rPr>
          <w:rFonts w:ascii="Garamond" w:eastAsia="Garamond" w:hAnsi="Garamond" w:cs="Garamond"/>
          <w:color w:val="000000"/>
          <w:sz w:val="24"/>
          <w:szCs w:val="24"/>
        </w:rPr>
        <w:lastRenderedPageBreak/>
        <w:t>contenzioso con i soci recedenti, posto che il ramo d’azienda operativa è destinato ad essere trasferito in capo alla controllata Consorzio Informatica</w:t>
      </w:r>
      <w:r w:rsidR="007D1098">
        <w:rPr>
          <w:rFonts w:ascii="Garamond" w:eastAsia="Garamond" w:hAnsi="Garamond" w:cs="Garamond"/>
          <w:color w:val="000000"/>
          <w:sz w:val="24"/>
          <w:szCs w:val="24"/>
        </w:rPr>
        <w:t xml:space="preserve"> </w:t>
      </w:r>
      <w:r>
        <w:rPr>
          <w:rFonts w:ascii="Garamond" w:eastAsia="Garamond" w:hAnsi="Garamond" w:cs="Garamond"/>
          <w:color w:val="000000"/>
          <w:sz w:val="24"/>
          <w:szCs w:val="24"/>
        </w:rPr>
        <w:t>Territorio S.p.A..</w:t>
      </w:r>
    </w:p>
    <w:p w14:paraId="0000005C" w14:textId="77777777" w:rsidR="006E2537" w:rsidRDefault="006E2537">
      <w:pPr>
        <w:pBdr>
          <w:top w:val="nil"/>
          <w:left w:val="nil"/>
          <w:bottom w:val="nil"/>
          <w:right w:val="nil"/>
          <w:between w:val="nil"/>
        </w:pBdr>
        <w:jc w:val="both"/>
        <w:rPr>
          <w:rFonts w:ascii="Garamond" w:eastAsia="Garamond" w:hAnsi="Garamond" w:cs="Garamond"/>
          <w:color w:val="000000"/>
          <w:sz w:val="24"/>
          <w:szCs w:val="24"/>
          <w:u w:val="single"/>
        </w:rPr>
      </w:pPr>
    </w:p>
    <w:p w14:paraId="0000005E" w14:textId="77777777" w:rsidR="006E2537" w:rsidRDefault="005B2A41">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 *</w:t>
      </w:r>
    </w:p>
    <w:p w14:paraId="0000005F" w14:textId="77777777" w:rsidR="006E2537" w:rsidRDefault="006E2537">
      <w:pPr>
        <w:pBdr>
          <w:top w:val="nil"/>
          <w:left w:val="nil"/>
          <w:bottom w:val="nil"/>
          <w:right w:val="nil"/>
          <w:between w:val="nil"/>
        </w:pBdr>
        <w:ind w:firstLine="709"/>
        <w:jc w:val="center"/>
        <w:rPr>
          <w:rFonts w:ascii="Garamond" w:eastAsia="Garamond" w:hAnsi="Garamond" w:cs="Garamond"/>
          <w:color w:val="000000"/>
          <w:sz w:val="24"/>
          <w:szCs w:val="24"/>
        </w:rPr>
      </w:pPr>
    </w:p>
    <w:p w14:paraId="00000060" w14:textId="77777777" w:rsidR="006E2537" w:rsidRDefault="005B2A41">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i/>
          <w:color w:val="000000"/>
          <w:sz w:val="24"/>
          <w:szCs w:val="24"/>
          <w:u w:val="single"/>
        </w:rPr>
        <w:t>1.2. - Padania Acque S.p.A.</w:t>
      </w:r>
    </w:p>
    <w:p w14:paraId="00000061"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62"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La società ha sede in Cremona, alla via del Macello 14, Codice Fiscale 00111860193, e unità operativa in Crema, con amministrazione pluripersonale collegiale, e ha per oggetto il servizio idrico integrato, e quanto a ciò connesso.</w:t>
      </w:r>
    </w:p>
    <w:p w14:paraId="00000063"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64"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capitale sociale deliberato, sottoscritto e versato, è di euro 33.749.473,16, suddiviso in 64.902.833 azioni del valore nominale di euro 0,52. </w:t>
      </w:r>
    </w:p>
    <w:p w14:paraId="00000065"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highlight w:val="yellow"/>
        </w:rPr>
      </w:pPr>
    </w:p>
    <w:p w14:paraId="00000066" w14:textId="33CBB3D6"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sidRPr="00057F89">
        <w:rPr>
          <w:rFonts w:ascii="Garamond" w:eastAsia="Garamond" w:hAnsi="Garamond" w:cs="Garamond"/>
          <w:color w:val="000000"/>
          <w:sz w:val="24"/>
          <w:szCs w:val="24"/>
        </w:rPr>
        <w:t xml:space="preserve">Il Comune detiene </w:t>
      </w:r>
      <w:r w:rsidR="00057F89" w:rsidRPr="00057F89">
        <w:rPr>
          <w:rFonts w:ascii="Garamond" w:eastAsia="Garamond" w:hAnsi="Garamond" w:cs="Garamond"/>
          <w:color w:val="000000"/>
          <w:sz w:val="24"/>
          <w:szCs w:val="24"/>
        </w:rPr>
        <w:t>838.932</w:t>
      </w:r>
      <w:r w:rsidRPr="00057F89">
        <w:rPr>
          <w:rFonts w:ascii="Garamond" w:eastAsia="Garamond" w:hAnsi="Garamond" w:cs="Garamond"/>
          <w:color w:val="000000"/>
          <w:sz w:val="24"/>
          <w:szCs w:val="24"/>
        </w:rPr>
        <w:t xml:space="preserve"> azioni, pari a nominali </w:t>
      </w:r>
      <w:r w:rsidR="00057F89" w:rsidRPr="00057F89">
        <w:rPr>
          <w:rFonts w:ascii="Garamond" w:eastAsia="Garamond" w:hAnsi="Garamond" w:cs="Garamond"/>
          <w:color w:val="000000"/>
          <w:sz w:val="24"/>
          <w:szCs w:val="24"/>
        </w:rPr>
        <w:t>436.244,64</w:t>
      </w:r>
      <w:r w:rsidRPr="00057F89">
        <w:rPr>
          <w:rFonts w:ascii="Garamond" w:eastAsia="Garamond" w:hAnsi="Garamond" w:cs="Garamond"/>
          <w:color w:val="000000"/>
          <w:sz w:val="24"/>
          <w:szCs w:val="24"/>
        </w:rPr>
        <w:t xml:space="preserve"> euro. Per conseguenza, è socio nella misura dello </w:t>
      </w:r>
      <w:r w:rsidR="007D1098" w:rsidRPr="00057F89">
        <w:rPr>
          <w:rFonts w:ascii="Garamond" w:eastAsia="Garamond" w:hAnsi="Garamond" w:cs="Garamond"/>
          <w:color w:val="000000"/>
          <w:sz w:val="24"/>
          <w:szCs w:val="24"/>
        </w:rPr>
        <w:t>1,29</w:t>
      </w:r>
      <w:r w:rsidRPr="00057F89">
        <w:rPr>
          <w:rFonts w:ascii="Garamond" w:eastAsia="Garamond" w:hAnsi="Garamond" w:cs="Garamond"/>
          <w:color w:val="000000"/>
          <w:sz w:val="24"/>
          <w:szCs w:val="24"/>
        </w:rPr>
        <w:t xml:space="preserve"> %.</w:t>
      </w:r>
    </w:p>
    <w:p w14:paraId="00000067"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68"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Con riferimento ai parametri di cui all’art. 20, comma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si rileva quanto segue:</w:t>
      </w:r>
    </w:p>
    <w:p w14:paraId="00000069" w14:textId="77777777" w:rsidR="006E2537" w:rsidRDefault="005B2A41">
      <w:pPr>
        <w:numPr>
          <w:ilvl w:val="0"/>
          <w:numId w:val="5"/>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 xml:space="preserve">Padania Acque è affidataria “in house” del servizio idrico integrato dell’ambito territoriale ottimale della provincia di Cremona, con affidamento regolato dal contratto di servizio stipulato tra l’Ufficio d’Ambito della Provincia di Cremona e la stessa Padania Acque, per la durata di anni 30 decorrenti dal 1° gennaio 2014, di talché la società svolge un servizio di interesse generale, rientrante nell’art. 4, comma 2, lettera a),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fermo restando che la partecipazione al capitale sociale di Padania Acque, da parte di ciascun Comune compreso nel perimetro dell’ATO della Provincia di Cremona, deve intendersi doverosa ai fini di soddisfare i presupposti dell’affidamento “in house”, ai sensi dell’art. 149bis, comma 1,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152/2006;</w:t>
      </w:r>
    </w:p>
    <w:p w14:paraId="0000006A" w14:textId="77777777" w:rsidR="006E2537" w:rsidRDefault="005B2A41">
      <w:pPr>
        <w:numPr>
          <w:ilvl w:val="0"/>
          <w:numId w:val="5"/>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nell’ottica di garantire la rappresentatività territoriale e per ciò stesso l’effettività del controllo analogo congiunto, la società è amministrata da un consiglio di amministrazione formato da 5 componenti, compresi il presidente e l’amministratore delegato; il numero medio di dipendenti nell’esercizio 2020 è risultato pari a 176,4 unità;</w:t>
      </w:r>
    </w:p>
    <w:p w14:paraId="0000006B" w14:textId="77777777" w:rsidR="006E2537" w:rsidRDefault="005B2A41">
      <w:pPr>
        <w:numPr>
          <w:ilvl w:val="0"/>
          <w:numId w:val="5"/>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 xml:space="preserve">Padania Acque è il gestore unico del servizio idrico integrato dell’ATO della provincia di Cremona, in conformità ai principi di unicità della gestione e di dimensione almeno provinciale della stessa, di cui all’art. 147, commi 2 e 2bis,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152/2006; </w:t>
      </w:r>
    </w:p>
    <w:p w14:paraId="0000006C" w14:textId="77777777" w:rsidR="006E2537" w:rsidRDefault="005B2A41">
      <w:pPr>
        <w:numPr>
          <w:ilvl w:val="0"/>
          <w:numId w:val="5"/>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il fatturato medio annuo del triennio 2018/2020 è risultato superiore al milione di euro;</w:t>
      </w:r>
    </w:p>
    <w:p w14:paraId="0000006D" w14:textId="77777777" w:rsidR="006E2537" w:rsidRDefault="005B2A41">
      <w:pPr>
        <w:numPr>
          <w:ilvl w:val="0"/>
          <w:numId w:val="5"/>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in disparte della dirimente considerazione che Padania Acque espleta un servizio d’interesse generale, non si è verificata la circostanza della chiusura in negativo di quattro dei cinque ultimi bilanci (nell’esercizio 2020 si è registrato un utile netto di € 2.799.000, nel precedente esercizio 2019 l’utile era stato di € 3.869.000);</w:t>
      </w:r>
    </w:p>
    <w:p w14:paraId="0000006E" w14:textId="77777777" w:rsidR="006E2537" w:rsidRDefault="005B2A41">
      <w:pPr>
        <w:numPr>
          <w:ilvl w:val="0"/>
          <w:numId w:val="5"/>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alla luce dell’andamento dei conti della società, non risultano necessari interventi di ulteriore contenimento dei costi di funzionamento, posto che la regolazione tariffaria disciplinata da ARERA assicura una gestione improntata ai canoni di efficienza, efficacia ed economicità;</w:t>
      </w:r>
    </w:p>
    <w:p w14:paraId="0000006F" w14:textId="77777777" w:rsidR="006E2537" w:rsidRDefault="005B2A41">
      <w:pPr>
        <w:numPr>
          <w:ilvl w:val="0"/>
          <w:numId w:val="5"/>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lastRenderedPageBreak/>
        <w:t xml:space="preserve">Padania Acque, quale gestore unico del servizio idrico integrato dell’ATO Cremona costituisce già essa stessa il frutto di precedenti processi di razionalizzazione e semplificazione societaria, culminati nell’unificazione delle gestioni e nella concentrazione in capo alla medesima società delle componenti operative e patrimoniali, di talché non è necessario procedere ad ulteriori aggregazioni, fermo restando che sono in corso valutazioni relative all’acquisizione del ramo d’azienda di ASM Pandino s.r.l., cui fa capo la proprietà di reti ed impianti situati nel territorio comunale di Pandino. </w:t>
      </w:r>
    </w:p>
    <w:p w14:paraId="00000070"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71" w14:textId="77777777" w:rsidR="006E2537" w:rsidRDefault="005B2A41">
      <w:pPr>
        <w:pBdr>
          <w:top w:val="nil"/>
          <w:left w:val="nil"/>
          <w:bottom w:val="nil"/>
          <w:right w:val="nil"/>
          <w:between w:val="nil"/>
        </w:pBdr>
        <w:spacing w:after="200"/>
        <w:ind w:firstLine="709"/>
        <w:jc w:val="center"/>
        <w:rPr>
          <w:rFonts w:ascii="Garamond" w:eastAsia="Garamond" w:hAnsi="Garamond" w:cs="Garamond"/>
          <w:color w:val="000000"/>
          <w:sz w:val="24"/>
          <w:szCs w:val="24"/>
        </w:rPr>
      </w:pPr>
      <w:r>
        <w:rPr>
          <w:rFonts w:ascii="Garamond" w:eastAsia="Garamond" w:hAnsi="Garamond" w:cs="Garamond"/>
          <w:b/>
          <w:color w:val="000000"/>
          <w:sz w:val="24"/>
          <w:szCs w:val="24"/>
        </w:rPr>
        <w:t>*   *   *</w:t>
      </w:r>
    </w:p>
    <w:p w14:paraId="00000072"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center"/>
        <w:rPr>
          <w:rFonts w:ascii="Garamond" w:eastAsia="Garamond" w:hAnsi="Garamond" w:cs="Garamond"/>
          <w:color w:val="000000"/>
          <w:sz w:val="24"/>
          <w:szCs w:val="24"/>
        </w:rPr>
      </w:pPr>
      <w:r>
        <w:rPr>
          <w:rFonts w:ascii="Garamond" w:eastAsia="Garamond" w:hAnsi="Garamond" w:cs="Garamond"/>
          <w:b/>
          <w:color w:val="000000"/>
          <w:sz w:val="24"/>
          <w:szCs w:val="24"/>
          <w:u w:val="single"/>
        </w:rPr>
        <w:t>2. Partecipazioni indirette e assimilate</w:t>
      </w:r>
    </w:p>
    <w:p w14:paraId="00000073"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74"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75" w14:textId="77777777" w:rsidR="006E2537" w:rsidRDefault="005B2A41">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i/>
          <w:color w:val="000000"/>
          <w:sz w:val="24"/>
          <w:szCs w:val="24"/>
          <w:u w:val="single"/>
        </w:rPr>
        <w:t xml:space="preserve">2.1. – </w:t>
      </w:r>
      <w:r>
        <w:rPr>
          <w:rFonts w:ascii="Garamond" w:eastAsia="Garamond" w:hAnsi="Garamond" w:cs="Garamond"/>
          <w:b/>
          <w:color w:val="000000"/>
          <w:sz w:val="24"/>
          <w:szCs w:val="24"/>
          <w:u w:val="single"/>
        </w:rPr>
        <w:t>Consorzio Informatica Territorio S.p.A.</w:t>
      </w:r>
    </w:p>
    <w:p w14:paraId="00000076"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77"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La società è partecipata al 100% dai Comuni soci per il tramite di SCRP, e assoggettata al controllo analogo mediante apposito comitato ove sono rappresentati tutti i Comuni indirettamente soci e titolari dei servizi affidati.</w:t>
      </w:r>
    </w:p>
    <w:p w14:paraId="00000078"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Con determina prot. n. 12140, del 9 marzo 2021, l’Autorità Nazionale Anticorruzione, Ufficio Qualificazione delle stazioni appaltanti, ha disposto l’iscrizione del Comune di Crema, nonché degli altri Comuni indirettamente soci di Consorzio Informatica Territorio S.p.A. per il tramite di SCRP S.p.A. in liquidazione, all’elenco delle amministrazioni aggiudicatrici che operano mediante affidamenti diretti nei confronti di proprie società “in house”, di cui all’art. 192, comma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50/2016, in relazione agli affidamenti in regime di “in house </w:t>
      </w:r>
      <w:proofErr w:type="spellStart"/>
      <w:r>
        <w:rPr>
          <w:rFonts w:ascii="Garamond" w:eastAsia="Garamond" w:hAnsi="Garamond" w:cs="Garamond"/>
          <w:color w:val="000000"/>
          <w:sz w:val="24"/>
          <w:szCs w:val="24"/>
        </w:rPr>
        <w:t>providing</w:t>
      </w:r>
      <w:proofErr w:type="spellEnd"/>
      <w:r>
        <w:rPr>
          <w:rFonts w:ascii="Garamond" w:eastAsia="Garamond" w:hAnsi="Garamond" w:cs="Garamond"/>
          <w:color w:val="000000"/>
          <w:sz w:val="24"/>
          <w:szCs w:val="24"/>
        </w:rPr>
        <w:t>” a Consorzio Informatica Territorio S.p.A., in accoglimento della domanda del 23 maggio 2018, ID 935.</w:t>
      </w:r>
    </w:p>
    <w:p w14:paraId="00000079"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Cosicché è risultata positivamente vagliata la modalità d’esercizio del controllo analogo congiunto implementata attraverso la modifica statutaria approvata dall’assemblea straordinaria di Consorzio Informatica Territorio tenutasi il 20 novembre 2020.</w:t>
      </w:r>
    </w:p>
    <w:p w14:paraId="0000007A"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La società si focalizza su azioni di consulenza e progettazione di infrastrutture a sostegno degli enti locali che, nella maggior parte dei casi, non dispongono di personale dedicato al sistema informatico.</w:t>
      </w:r>
    </w:p>
    <w:p w14:paraId="0000007B"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In particolare, Consorzio Informatica Territorio fornisce hardware, software ed assistenza sistemistica, punto di riferimento per tutti gli aspetti informatici, compresa la mediazione con i commerciali delle varie software house ed i vari fornitori dei Comuni.</w:t>
      </w:r>
    </w:p>
    <w:p w14:paraId="0000007C"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La società eroga, inoltre, servizi di committenza a favore dei Comuni indirettamente soci ed esercenti il controllo analogo congiunto attraverso i meccanismi statutari positivamente vagliati da ANAC.</w:t>
      </w:r>
    </w:p>
    <w:p w14:paraId="0000007D" w14:textId="77777777" w:rsidR="006E2537" w:rsidRDefault="006E2537">
      <w:pPr>
        <w:pBdr>
          <w:top w:val="nil"/>
          <w:left w:val="nil"/>
          <w:bottom w:val="nil"/>
          <w:right w:val="nil"/>
          <w:between w:val="nil"/>
        </w:pBdr>
        <w:ind w:firstLine="709"/>
        <w:rPr>
          <w:rFonts w:ascii="Garamond" w:eastAsia="Garamond" w:hAnsi="Garamond" w:cs="Garamond"/>
          <w:color w:val="000000"/>
          <w:sz w:val="24"/>
          <w:szCs w:val="24"/>
        </w:rPr>
      </w:pPr>
    </w:p>
    <w:p w14:paraId="0000007E"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Con riferimento ai parametri di cui all’art. 20, comma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si rileva quanto segue:</w:t>
      </w:r>
    </w:p>
    <w:p w14:paraId="0000007F" w14:textId="77777777" w:rsidR="006E2537" w:rsidRDefault="005B2A41">
      <w:pPr>
        <w:numPr>
          <w:ilvl w:val="0"/>
          <w:numId w:val="8"/>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 società svolge attività inquadrabili nelle categorie dei servizi strumentali e dei servizi di committenza, di cui all’art. 4, comma 2, lettere d) ed e),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con stretto riferimento alla collaborazione operativa con i Comuni indirettamente soci;</w:t>
      </w:r>
    </w:p>
    <w:p w14:paraId="00000080" w14:textId="77777777" w:rsidR="006E2537" w:rsidRDefault="005B2A41">
      <w:pPr>
        <w:numPr>
          <w:ilvl w:val="0"/>
          <w:numId w:val="8"/>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la società è amministrata da un consiglio di amministrazione formato da tre componenti, compreso il presidente, al fine di garantire la più ampia rappresentatività dei Comuni indirettamente soci ed esercitanti il controllo analogo congiunto attraverso l’apposito comitato previsto dallo statuto; con riferimento ai dipendenti, in base all’ultimo bilancio depositato, relativo all’anno 2020, il numero risulta essere di 9,5 unità;</w:t>
      </w:r>
    </w:p>
    <w:p w14:paraId="00000081" w14:textId="77777777" w:rsidR="006E2537" w:rsidRDefault="005B2A41">
      <w:pPr>
        <w:numPr>
          <w:ilvl w:val="0"/>
          <w:numId w:val="8"/>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non vi sono altre società, partecipate (direttamente o indirettamente) dal Comune, che svolgano attività analoghe o similari a quelle di Consorzio Informatica Territorio S.p.A.;</w:t>
      </w:r>
    </w:p>
    <w:p w14:paraId="00000082" w14:textId="77777777" w:rsidR="006E2537" w:rsidRDefault="005B2A41">
      <w:pPr>
        <w:numPr>
          <w:ilvl w:val="0"/>
          <w:numId w:val="8"/>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il fatturato medio annuo del triennio 2018/2020 è risultato superiore al milione di euro;</w:t>
      </w:r>
    </w:p>
    <w:p w14:paraId="00000083" w14:textId="77777777" w:rsidR="006E2537" w:rsidRDefault="005B2A41">
      <w:pPr>
        <w:numPr>
          <w:ilvl w:val="0"/>
          <w:numId w:val="8"/>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non si è verificata la circostanza della chiusura in negativo di quattro dei cinque ultimi bilanci (nell’esercizio 2020 si è registrato un utile netto di € 40.689, nel precedente esercizio 2019 l’utile era stato di € 24.546);</w:t>
      </w:r>
    </w:p>
    <w:p w14:paraId="00000084" w14:textId="77777777" w:rsidR="006E2537" w:rsidRDefault="005B2A41">
      <w:pPr>
        <w:numPr>
          <w:ilvl w:val="0"/>
          <w:numId w:val="8"/>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alla luce dell’andamento dei conti della società, non risultano necessari interventi di ulteriore contenimento dei costi di funzionamento, posto che si potrà conseguire un ulteriore efficientamento per effetto del conferimento del ramo d’azienda operativo di SCRP S.p.A. in liquidazione, in virtù del quale si eviteranno duplicazioni nei processi decisionali;</w:t>
      </w:r>
    </w:p>
    <w:p w14:paraId="00000085" w14:textId="77777777" w:rsidR="006E2537" w:rsidRDefault="005B2A41">
      <w:pPr>
        <w:numPr>
          <w:ilvl w:val="0"/>
          <w:numId w:val="8"/>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non risultano necessarie aggregazioni societarie, poiché la società rappresenta già essa stessa una forma di cooperazione a livello sovracomunale, che interessa la quasi totalità dei Comuni del Cremasco, con lo studio e realizzazione di servizi tecnologicamente avanzati posti a disposizione di tutti gli enti, in un’ottica sinergica.</w:t>
      </w:r>
    </w:p>
    <w:p w14:paraId="00000086"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87" w14:textId="77777777" w:rsidR="006E2537" w:rsidRDefault="005B2A41">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 *</w:t>
      </w:r>
    </w:p>
    <w:p w14:paraId="00000088" w14:textId="77777777" w:rsidR="006E2537" w:rsidRDefault="006E2537">
      <w:pPr>
        <w:pBdr>
          <w:top w:val="nil"/>
          <w:left w:val="nil"/>
          <w:bottom w:val="nil"/>
          <w:right w:val="nil"/>
          <w:between w:val="nil"/>
        </w:pBdr>
        <w:rPr>
          <w:rFonts w:ascii="Garamond" w:eastAsia="Garamond" w:hAnsi="Garamond" w:cs="Garamond"/>
          <w:color w:val="000000"/>
          <w:sz w:val="24"/>
          <w:szCs w:val="24"/>
          <w:u w:val="single"/>
        </w:rPr>
      </w:pPr>
    </w:p>
    <w:p w14:paraId="00000089" w14:textId="77777777" w:rsidR="006E2537" w:rsidRDefault="005B2A41">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i/>
          <w:color w:val="000000"/>
          <w:sz w:val="24"/>
          <w:szCs w:val="24"/>
          <w:u w:val="single"/>
        </w:rPr>
        <w:t xml:space="preserve">2.2. – </w:t>
      </w:r>
      <w:r>
        <w:rPr>
          <w:rFonts w:ascii="Garamond" w:eastAsia="Garamond" w:hAnsi="Garamond" w:cs="Garamond"/>
          <w:b/>
          <w:color w:val="000000"/>
          <w:sz w:val="24"/>
          <w:szCs w:val="24"/>
          <w:u w:val="single"/>
        </w:rPr>
        <w:t>Società Cremasca Servizi s.r.l. e, mediante questa, LGH S.p.A.</w:t>
      </w:r>
      <w:r>
        <w:rPr>
          <w:rFonts w:ascii="Garamond" w:eastAsia="Garamond" w:hAnsi="Garamond" w:cs="Garamond"/>
          <w:color w:val="000000"/>
          <w:sz w:val="24"/>
          <w:szCs w:val="24"/>
        </w:rPr>
        <w:t>.</w:t>
      </w:r>
    </w:p>
    <w:p w14:paraId="0000008A"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u w:val="single"/>
        </w:rPr>
      </w:pPr>
    </w:p>
    <w:p w14:paraId="0000008B"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La società è partecipata per il 65% mediante S.C.R.P. S.p.A. in liquidazione.</w:t>
      </w:r>
    </w:p>
    <w:p w14:paraId="0000008C"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8D"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SCS costituisce la </w:t>
      </w:r>
      <w:r>
        <w:rPr>
          <w:rFonts w:ascii="Garamond" w:eastAsia="Garamond" w:hAnsi="Garamond" w:cs="Garamond"/>
          <w:i/>
          <w:color w:val="000000"/>
          <w:sz w:val="24"/>
          <w:szCs w:val="24"/>
        </w:rPr>
        <w:t>holding</w:t>
      </w:r>
      <w:r>
        <w:rPr>
          <w:rFonts w:ascii="Garamond" w:eastAsia="Garamond" w:hAnsi="Garamond" w:cs="Garamond"/>
          <w:color w:val="000000"/>
          <w:sz w:val="24"/>
          <w:szCs w:val="24"/>
        </w:rPr>
        <w:t xml:space="preserve"> mediante cui i Comuni soci di SCRP partecipano, nella misura del 4,433%, al capitale di LGH S.p.A..</w:t>
      </w:r>
    </w:p>
    <w:p w14:paraId="0000008E"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8F"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SCS s.r.l. è dunque la società veicolo attraverso la quale i Comuni cremaschi concorrono ad esercitare il ruolo di partner di minoranza di A2A S.p.A. (socio di maggioranza assoluta di LGH S.p.A.), in coordinamento con gli altri partner minoritari, ovvero AEM Cremona S.p.A. (per il Comune di Cremona), ASM Pavia S.p.A. (per il Comune di Pavia), </w:t>
      </w:r>
      <w:proofErr w:type="spellStart"/>
      <w:r>
        <w:rPr>
          <w:rFonts w:ascii="Garamond" w:eastAsia="Garamond" w:hAnsi="Garamond" w:cs="Garamond"/>
          <w:color w:val="000000"/>
          <w:sz w:val="24"/>
          <w:szCs w:val="24"/>
        </w:rPr>
        <w:t>Astem</w:t>
      </w:r>
      <w:proofErr w:type="spellEnd"/>
      <w:r>
        <w:rPr>
          <w:rFonts w:ascii="Garamond" w:eastAsia="Garamond" w:hAnsi="Garamond" w:cs="Garamond"/>
          <w:color w:val="000000"/>
          <w:sz w:val="24"/>
          <w:szCs w:val="24"/>
        </w:rPr>
        <w:t xml:space="preserve"> S.p.A. (per il Comune di  Lodi) e </w:t>
      </w:r>
      <w:proofErr w:type="spellStart"/>
      <w:r>
        <w:rPr>
          <w:rFonts w:ascii="Garamond" w:eastAsia="Garamond" w:hAnsi="Garamond" w:cs="Garamond"/>
          <w:color w:val="000000"/>
          <w:sz w:val="24"/>
          <w:szCs w:val="24"/>
        </w:rPr>
        <w:t>Cogeme</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S.p.A</w:t>
      </w:r>
      <w:proofErr w:type="spellEnd"/>
      <w:r>
        <w:rPr>
          <w:rFonts w:ascii="Garamond" w:eastAsia="Garamond" w:hAnsi="Garamond" w:cs="Garamond"/>
          <w:color w:val="000000"/>
          <w:sz w:val="24"/>
          <w:szCs w:val="24"/>
        </w:rPr>
        <w:t xml:space="preserve"> (per i Comuni dell’ovest bresciano), già soci fondatori della </w:t>
      </w:r>
      <w:r>
        <w:rPr>
          <w:rFonts w:ascii="Garamond" w:eastAsia="Garamond" w:hAnsi="Garamond" w:cs="Garamond"/>
          <w:i/>
          <w:color w:val="000000"/>
          <w:sz w:val="24"/>
          <w:szCs w:val="24"/>
        </w:rPr>
        <w:t xml:space="preserve">multiutility </w:t>
      </w:r>
      <w:r>
        <w:rPr>
          <w:rFonts w:ascii="Garamond" w:eastAsia="Garamond" w:hAnsi="Garamond" w:cs="Garamond"/>
          <w:color w:val="000000"/>
          <w:sz w:val="24"/>
          <w:szCs w:val="24"/>
        </w:rPr>
        <w:t>Linea Group Holding – LGH S.p.A. e partecipi, con SCS s.r.l., all’accordo di partnership industriale e societaria in forza del quale A2A S.p.A. ha acquisito il 51% del capitale di LGH.</w:t>
      </w:r>
    </w:p>
    <w:p w14:paraId="00000090"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91"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Nel quadro dell’operazione che ha portato all’alleanza industriale e societaria con A2A, gli originari soci pubblici di LGH hanno sottoscritto, il 4 agosto 2016, successivamente integrato in 17 maggio 2019, un apposito patto parasociale, avente ad oggetto l’esercizio coordinato e congiunto delle prerogative di </w:t>
      </w:r>
      <w:r>
        <w:rPr>
          <w:rFonts w:ascii="Garamond" w:eastAsia="Garamond" w:hAnsi="Garamond" w:cs="Garamond"/>
          <w:i/>
          <w:color w:val="000000"/>
          <w:sz w:val="24"/>
          <w:szCs w:val="24"/>
        </w:rPr>
        <w:t>partner di minoranza</w:t>
      </w:r>
      <w:r>
        <w:rPr>
          <w:rFonts w:ascii="Garamond" w:eastAsia="Garamond" w:hAnsi="Garamond" w:cs="Garamond"/>
          <w:color w:val="000000"/>
          <w:sz w:val="24"/>
          <w:szCs w:val="24"/>
        </w:rPr>
        <w:t xml:space="preserve"> loro riconosciute dall’accordo con A2A. </w:t>
      </w:r>
    </w:p>
    <w:p w14:paraId="00000092"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93"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Le intese raggiunte con le altre società patrimoniali e regolate dall’accordo di cui sopra, presuppongono l’unitarietà del soggetto portatore degli interessi dei Comuni cremaschi e dunque il mantenimento di SCS s.r.l..</w:t>
      </w:r>
    </w:p>
    <w:p w14:paraId="00000094"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95"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Detta attività non può essere né esternalizzata né compiuta direttamente dai Comuni. Allo stato, inoltre, non sono percorribili né lo scioglimento, né la fusione in Consorzio Informatica Territorio S.p.A. (quest’ultima prossima conferitaria del ramo d’azienda operativo della controllante SCRP S.p.A. in liquidazione).</w:t>
      </w:r>
    </w:p>
    <w:p w14:paraId="00000096"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97"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Nel primo caso, infatti, ve</w:t>
      </w:r>
      <w:r>
        <w:rPr>
          <w:rFonts w:ascii="Garamond" w:eastAsia="Garamond" w:hAnsi="Garamond" w:cs="Garamond"/>
          <w:sz w:val="24"/>
          <w:szCs w:val="24"/>
        </w:rPr>
        <w:t>rrebbe meno l’unità soggettiva del Cremasco all’interno del sopradetto patto, con la perdita delle prerogative previste dallo stesso patto, sul presupposto del mantenimento di una partecipazione minima che a quel punto non risulterebbe raggiunta; nell’al</w:t>
      </w:r>
      <w:r>
        <w:rPr>
          <w:rFonts w:ascii="Garamond" w:eastAsia="Garamond" w:hAnsi="Garamond" w:cs="Garamond"/>
          <w:color w:val="000000"/>
          <w:sz w:val="24"/>
          <w:szCs w:val="24"/>
        </w:rPr>
        <w:t xml:space="preserve">tro, si darebbe genesi ad una profonda alterazione dei rapporti di forza tra i Comuni soci, in quanto aumenterebbe significativamente il peso percentuale del Comune di Crema. </w:t>
      </w:r>
    </w:p>
    <w:p w14:paraId="00000098"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99"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SCS è quindi strettamente necessaria al perseguimento delle finalità istituzionali dei Comuni soci in quanto costituisce l’anello di collegamento con LGH, </w:t>
      </w:r>
      <w:r>
        <w:rPr>
          <w:rFonts w:ascii="Garamond" w:eastAsia="Garamond" w:hAnsi="Garamond" w:cs="Garamond"/>
          <w:i/>
          <w:color w:val="000000"/>
          <w:sz w:val="24"/>
          <w:szCs w:val="24"/>
        </w:rPr>
        <w:t>multiutility</w:t>
      </w:r>
      <w:r>
        <w:rPr>
          <w:rFonts w:ascii="Garamond" w:eastAsia="Garamond" w:hAnsi="Garamond" w:cs="Garamond"/>
          <w:color w:val="000000"/>
          <w:sz w:val="24"/>
          <w:szCs w:val="24"/>
        </w:rPr>
        <w:t xml:space="preserve"> dei territori, che mediante società controllate e partecipate, con particolare riferimento alle aree dell’Ovest Bresciano, Cremonese, Cremasco, Lodigiano e Pavese, opera nei servizi di igiene ambientale, trattamento e smaltimento rifiuti, produzione e distribuzione energia elettrica, efficientamento energetico, distribuzione del gas naturale e gestione calore, teleriscaldamento, nonché, tramite la partecipazione in società controllate da A2A, nei settori della mobilità elettrica, vendita di energia elettrica e gas naturale, servizi di smart city e telecomunicazione. </w:t>
      </w:r>
    </w:p>
    <w:p w14:paraId="0000009A"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9B"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Si tratta quindi di servizi d’interesse generale che rientrano nella categoria di attività di cui all’art. 4, comma 2, lett. a),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w:t>
      </w:r>
    </w:p>
    <w:p w14:paraId="0000009C"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9D"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Ove, ai sensi dell’art. 2, comma 1, lettera g),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la partecipazione di SCS s.r.l. al capitale sociale di LGH S.p.A. risultasse qualificabile come “partecipazione indiretta” del Comune, la stessa risulterebbe in ogni caso mantenibile ai sensi del combinato disposto dell’art. 2, comma 1, lettera p), e dell’art. 26, comma 3,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poiché alla data del 31 dicembre 2015 LGH risultava aver emesso (nel corso del 2013) un prestito obbligazionario non convertibile quotato nella borsa del Lussemburgo.</w:t>
      </w:r>
    </w:p>
    <w:p w14:paraId="0000009E"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9F"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mantenimento della partecipazione di SCS s.r.l. in LGH S.p.A. risulta peraltro ammesso ai sensi dell’art. 4, comma 9bis,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in forza del quale “</w:t>
      </w:r>
      <w:r>
        <w:rPr>
          <w:rFonts w:ascii="Garamond" w:eastAsia="Garamond" w:hAnsi="Garamond" w:cs="Garamond"/>
          <w:i/>
          <w:color w:val="000000"/>
          <w:sz w:val="24"/>
          <w:szCs w:val="24"/>
        </w:rPr>
        <w:t>[n]</w:t>
      </w:r>
      <w:proofErr w:type="spellStart"/>
      <w:r>
        <w:rPr>
          <w:rFonts w:ascii="Garamond" w:eastAsia="Garamond" w:hAnsi="Garamond" w:cs="Garamond"/>
          <w:i/>
          <w:color w:val="000000"/>
          <w:sz w:val="24"/>
          <w:szCs w:val="24"/>
        </w:rPr>
        <w:t>el</w:t>
      </w:r>
      <w:proofErr w:type="spellEnd"/>
      <w:r>
        <w:rPr>
          <w:rFonts w:ascii="Garamond" w:eastAsia="Garamond" w:hAnsi="Garamond" w:cs="Garamond"/>
          <w:i/>
          <w:color w:val="000000"/>
          <w:sz w:val="24"/>
          <w:szCs w:val="24"/>
        </w:rPr>
        <w:t xml:space="preserve"> rispetto della disciplina europea, è fatta salva la possibilità per le amministrazioni pubbliche di acquisire o mantenere partecipazioni in società che producono servizi economici di interesse generale a rete, di cui all'</w:t>
      </w:r>
      <w:hyperlink r:id="rId7" w:anchor="03-bis">
        <w:r>
          <w:rPr>
            <w:rFonts w:ascii="Garamond" w:eastAsia="Garamond" w:hAnsi="Garamond" w:cs="Garamond"/>
            <w:i/>
            <w:color w:val="000000"/>
            <w:sz w:val="24"/>
            <w:szCs w:val="24"/>
          </w:rPr>
          <w:t>articolo 3-bis del decreto-legge 13 agosto 2011, n. 138, convertito, con modificazioni, dalla legge 14 settembre 2011, n. 148</w:t>
        </w:r>
      </w:hyperlink>
      <w:r>
        <w:rPr>
          <w:rFonts w:ascii="Garamond" w:eastAsia="Garamond" w:hAnsi="Garamond" w:cs="Garamond"/>
          <w:i/>
          <w:color w:val="000000"/>
          <w:sz w:val="24"/>
          <w:szCs w:val="24"/>
        </w:rPr>
        <w:t>, anche fuori dall'ambito territoriale della collettività di riferimento, in deroga alle previsioni di cui al comma 2, lettera a), purché l'affidamento dei servizi, in corso e nuovi, sia avvenuto e avvenga tramite procedure ad evidenza pubblica</w:t>
      </w:r>
      <w:r>
        <w:rPr>
          <w:rFonts w:ascii="Garamond" w:eastAsia="Garamond" w:hAnsi="Garamond" w:cs="Garamond"/>
          <w:color w:val="000000"/>
          <w:sz w:val="24"/>
          <w:szCs w:val="24"/>
        </w:rPr>
        <w:t>”.</w:t>
      </w:r>
    </w:p>
    <w:p w14:paraId="000000A0" w14:textId="77777777" w:rsidR="006E2537" w:rsidRDefault="006E2537">
      <w:pPr>
        <w:pBdr>
          <w:top w:val="nil"/>
          <w:left w:val="nil"/>
          <w:bottom w:val="nil"/>
          <w:right w:val="nil"/>
          <w:between w:val="nil"/>
        </w:pBdr>
        <w:jc w:val="both"/>
        <w:rPr>
          <w:rFonts w:ascii="Garamond" w:eastAsia="Garamond" w:hAnsi="Garamond" w:cs="Garamond"/>
          <w:color w:val="000000"/>
          <w:sz w:val="24"/>
          <w:szCs w:val="24"/>
        </w:rPr>
      </w:pPr>
    </w:p>
    <w:p w14:paraId="000000A1"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Con deliberazione assembleare di SCS s.r.l. del 14 giugno 2021, in conformità agli indirizzi condivisi dai Comuni soci nell’ambito dell’assemblea dei soci di SCRP, SCS ha espresso indirizzo favorevole all’accettazione della proposta preliminare di fusione per incorporazione di LGH S.p.A. in A2A S.p.A., nei termini di cui alla documentazione ivi citata ed in particolare le ivi contemplate note di A2A S.p.A. del 16 aprile 2021 (recante proposta preliminare di fusione) e del 30 aprile 2021 (recante proposta di accordo di risoluzione e patti), da A2A sottoposta in adempimento agli impegni assunti in forza dell’art. 22 dell’accordo di partnership stipulato il 4 marzo 2016, recante la disciplina della progressiva integrazione operativa e societaria tra LGH ed A2A, con il prioritario scenario finale della fusione e dell’ingresso delle società pubbliche fondatrici di LGH nel capitale sociale di A2A.</w:t>
      </w:r>
    </w:p>
    <w:p w14:paraId="000000A2"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A3"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Siffatto indirizzo favorevole alla fusione è stato assunto sul presupposto del proposto rapporto di concambio determinato in 0,947 azioni A2A per ogni azione LGH (concambio massimo di 0,928 azioni A2A per azione LGH, in caso di emissione di nuove azioni dell’incorporante), implicante l’assegnazione ai già soci territoriali di LGH del complessivo 2,75% del capitale post fusione di A2A S.p.A., ovvero, per quanto specificamente attiene SCS s.r.l., l’attribuzione dello 0,25% del capitale sociale di A2A S.p.A. post fusione.</w:t>
      </w:r>
    </w:p>
    <w:p w14:paraId="000000A4"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A5"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Egualmente alla base dell’assunto indirizzo favorevole, sono stati posti gli accessori impegni assunti da A2A, di cui alla predetta proposta di accordo di risoluzione e patti, in particolare aventi ad oggetto (i) il superamento degli impegni ed obblighi convenuti in forza dei precedenti accordi, con liberazione dai potenziali esborsi da essi conseguenti; (ii) la distribuzione parziale di riserve disponibili di LGH per non meno di € 16.082.000; (iii) la costituzione della “Fondazione LGH” (operante nei territori di riferimento dei già soci territoriali di LGH, amministrata da un C.d.A. formato da 2 membri, fra cui il presidente, nominati da A2A S.p.A., e 5 membri nominati dai già soci territoriali di LGH); (iv) il mantenimento per almeno 24 mesi delle sedi sociali delle società operative di business (tra cui Linea Gestioni s.r.l. a Crema e con il ruolo di polo delle bioenergie e della transizione ecologica riservato a Linea Green S.p.A., a Cremona); (v) il mantenimento per almeno 36 mesi del Comitato Territorio, composto da 7 membri, di cui due (tra cui il presidente) nominati da A2A S.p.A. ed i restanti 5, uno per territorio di riferimento, nominati dai cinque soci territoriali, tra cui SCS s.r.l..</w:t>
      </w:r>
    </w:p>
    <w:p w14:paraId="000000A6"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A7"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Con la medesima deliberazione assembleare è stato altresì espresso l’indirizzo favorevole alla conclusione di un patto parasociale (recante limiti alla circolazione delle azioni e l’istituzione di un comitato dei soci pattisti per l’espressione congiunta dei voti assembleari e delle candidature alla cariche societarie) tra i già soci territoriali di LGH, potenzialmente aperto all’ingresso di ulteriori società prevalentemente partecipate da soggetti pubblici, avente la finalità di preservare e rafforzare l’identità dei soci territoriali e promuoverne e tutelarne al meglio gli interessi nell’ambito della compagine sociale di A2A S.p.A..</w:t>
      </w:r>
    </w:p>
    <w:p w14:paraId="000000A8"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A9"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Successivamente, in funzione del condiviso percorso di fusione ed in attuazione degli impegni assunti, A2A S.p.A. ed LGH S.p.A. si sono attivate per </w:t>
      </w:r>
      <w:r>
        <w:rPr>
          <w:rFonts w:ascii="Garamond" w:eastAsia="Garamond" w:hAnsi="Garamond" w:cs="Garamond"/>
          <w:color w:val="000000"/>
          <w:sz w:val="24"/>
          <w:szCs w:val="24"/>
        </w:rPr>
        <w:lastRenderedPageBreak/>
        <w:t>la nomina dell’esperto comune ai sensi dell’art. 2501</w:t>
      </w:r>
      <w:r>
        <w:rPr>
          <w:rFonts w:ascii="Garamond" w:eastAsia="Garamond" w:hAnsi="Garamond" w:cs="Garamond"/>
          <w:i/>
          <w:color w:val="000000"/>
          <w:sz w:val="24"/>
          <w:szCs w:val="24"/>
        </w:rPr>
        <w:t>sexies</w:t>
      </w:r>
      <w:r>
        <w:rPr>
          <w:rFonts w:ascii="Garamond" w:eastAsia="Garamond" w:hAnsi="Garamond" w:cs="Garamond"/>
          <w:color w:val="000000"/>
          <w:sz w:val="24"/>
          <w:szCs w:val="24"/>
        </w:rPr>
        <w:t xml:space="preserve"> c.c., che, su istanza congiunta delle predette società, il Tribunale di Brescia ha individuato in KPMG </w:t>
      </w:r>
      <w:proofErr w:type="spellStart"/>
      <w:r>
        <w:rPr>
          <w:rFonts w:ascii="Garamond" w:eastAsia="Garamond" w:hAnsi="Garamond" w:cs="Garamond"/>
          <w:color w:val="000000"/>
          <w:sz w:val="24"/>
          <w:szCs w:val="24"/>
        </w:rPr>
        <w:t>S.pA</w:t>
      </w:r>
      <w:proofErr w:type="spellEnd"/>
      <w:r>
        <w:rPr>
          <w:rFonts w:ascii="Garamond" w:eastAsia="Garamond" w:hAnsi="Garamond" w:cs="Garamond"/>
          <w:color w:val="000000"/>
          <w:sz w:val="24"/>
          <w:szCs w:val="24"/>
        </w:rPr>
        <w:t>., la cui relazione, datata 29 luglio 2021, a firma del Socio Jacopo Ralph Ronzoni, ha confermato la congruità del concambio proposto da A2A S.p.A..</w:t>
      </w:r>
    </w:p>
    <w:p w14:paraId="000000AA"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AB"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A seguito della predisposizione, deposito ed approvazione del progetto di fusione da parte dei rispettivi organi amministrativi di A2A S.p.A. ed LGH S.p.A., è stata convocata, in data 7 ottobre 2021, l’assemblea straordinaria di LGH S.p.A. per la deliberazione della fusione con A2A S.p.A. ai sensi dell’art. 2502 c.c..</w:t>
      </w:r>
    </w:p>
    <w:p w14:paraId="000000AC"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AD"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Constatato che non sono intervenute modifiche sostanziali rispetto agli elementi assunti a presupposti della deliberazione assembleare del 14 giugno 2021, con deliberazione assembleare del 5 ottobre 2021, SCS s.r.l. ha provveduto all’autorizzazione del proprio legale rappresentante all’espressione del voto favorevole nell’assemblea straordinaria di LGH S.p.A. per l’approvazione della fusione per incorporazione A2A S.p.A., in funzione della stipula dell’atto di fusione entro il 31 dicembre 2021.</w:t>
      </w:r>
    </w:p>
    <w:p w14:paraId="000000AE"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AF"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Con riferimento ai parametri di cui all’art. 20, comma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si rileva quanto segue:</w:t>
      </w:r>
    </w:p>
    <w:p w14:paraId="000000B0" w14:textId="77777777" w:rsidR="006E2537" w:rsidRDefault="005B2A41">
      <w:pPr>
        <w:numPr>
          <w:ilvl w:val="0"/>
          <w:numId w:val="7"/>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 xml:space="preserve">per quanto sopra riferito, la società rientra nelle categorie di cui </w:t>
      </w:r>
      <w:r>
        <w:rPr>
          <w:rFonts w:ascii="Garamond" w:eastAsia="Garamond" w:hAnsi="Garamond" w:cs="Garamond"/>
          <w:sz w:val="24"/>
          <w:szCs w:val="24"/>
        </w:rPr>
        <w:t xml:space="preserve">all’art. 4, comma 2, lett. a) e d), comma 5, secondo periodo, nonché comma 9bis, </w:t>
      </w:r>
      <w:proofErr w:type="spellStart"/>
      <w:r>
        <w:rPr>
          <w:rFonts w:ascii="Garamond" w:eastAsia="Garamond" w:hAnsi="Garamond" w:cs="Garamond"/>
          <w:sz w:val="24"/>
          <w:szCs w:val="24"/>
        </w:rPr>
        <w:t>D</w:t>
      </w:r>
      <w:r>
        <w:rPr>
          <w:rFonts w:ascii="Garamond" w:eastAsia="Garamond" w:hAnsi="Garamond" w:cs="Garamond"/>
          <w:color w:val="000000"/>
          <w:sz w:val="24"/>
          <w:szCs w:val="24"/>
        </w:rPr>
        <w:t>.Lgs.</w:t>
      </w:r>
      <w:proofErr w:type="spellEnd"/>
      <w:r>
        <w:rPr>
          <w:rFonts w:ascii="Garamond" w:eastAsia="Garamond" w:hAnsi="Garamond" w:cs="Garamond"/>
          <w:color w:val="000000"/>
          <w:sz w:val="24"/>
          <w:szCs w:val="24"/>
        </w:rPr>
        <w:t xml:space="preserve"> 175/2016, considerato che SCS costituisce lo strumento unitario di cura degli interessi del Cremasco ed in particolare: (i) sino alla predetta fusione, all’interno della compagine sociale di LGH, nell’esercizio delle prerogative di indirizzo e controllo garantite dall’accordo di partnership del 4 marzo 2016; (ii) una volta divenuta efficace la predetta fusione, in seno ad A2A S.p.A. ed al patto parasociale concluso con le altre società pubbliche già soci territoriali e fondatori di LGH, di talché, soprattutto attraverso il rappresentante nominato all’interno del Comitato Territorio ed il coordinamento tra le società pattiste nell’ambito delle assemblee di A2A, SCS continuerà ad essere funzionale alla rappresentazione e tutela delle istanze territoriali, nonché alla concertazione delle politiche di investimento e degli obiettivi strategici, relativamente ai servizi di interesse generale svolti da società operative del gruppo A2A nell’area del Cremasco;</w:t>
      </w:r>
    </w:p>
    <w:p w14:paraId="000000B1" w14:textId="77777777" w:rsidR="006E2537" w:rsidRDefault="005B2A41">
      <w:pPr>
        <w:numPr>
          <w:ilvl w:val="0"/>
          <w:numId w:val="7"/>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avuto riguardo all’attività in concreto svolta, di holding di partecipazioni, la società è amministrata congiuntamente dai soci Cremasca Servizi s.r.l. ed SCRP S.p.A. in liquidazione, senza alcun emolumento; sempre data l’attività svolta, la società non necessita di dipendenti;</w:t>
      </w:r>
    </w:p>
    <w:p w14:paraId="000000B2" w14:textId="77777777" w:rsidR="006E2537" w:rsidRDefault="005B2A41">
      <w:pPr>
        <w:numPr>
          <w:ilvl w:val="0"/>
          <w:numId w:val="7"/>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il Comune non partecipa ad altre società aventi ad oggetto l’attività di holding svolta da SCS s.r.l., della cui peculiare funzione si è dianzi riferito;</w:t>
      </w:r>
    </w:p>
    <w:p w14:paraId="000000B3" w14:textId="77777777" w:rsidR="006E2537" w:rsidRDefault="005B2A41">
      <w:pPr>
        <w:numPr>
          <w:ilvl w:val="0"/>
          <w:numId w:val="7"/>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il fatturato medio di SCS s.r.l. del triennio 2018/2020 è inferiore al milione di euro, ma trattandosi di holding societaria si tratta di un dato fisiologico, poiché, non ricorrendo i presupposti per la redazione del bilancio consolidato, i flussi economici in entrata sono prevalentemente costituiti dai proventi da partecipazioni (dividendi);</w:t>
      </w:r>
    </w:p>
    <w:p w14:paraId="000000B4" w14:textId="77777777" w:rsidR="006E2537" w:rsidRDefault="005B2A41">
      <w:pPr>
        <w:numPr>
          <w:ilvl w:val="0"/>
          <w:numId w:val="7"/>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lastRenderedPageBreak/>
        <w:t>non si è verificata la circostanza della chiusura in negativo di quattro dei cinque ultimi bilanci (nell’esercizio 2020 si è registrato un utile netto di € 447.959, nel precedente esercizio 2019 l’utile era stato di € 450.954);</w:t>
      </w:r>
    </w:p>
    <w:p w14:paraId="000000B5" w14:textId="77777777" w:rsidR="006E2537" w:rsidRDefault="005B2A41">
      <w:pPr>
        <w:numPr>
          <w:ilvl w:val="0"/>
          <w:numId w:val="7"/>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anche per effetto di interventi di razionalizzazione in precedenza implementati, i costi di funzionamento di SCS s.r.l. risultano estremamente contenuti, nell’ultimo bilancio depositato, del 2020, scesi ad € 43.401 dai precedenti € 75.684;</w:t>
      </w:r>
    </w:p>
    <w:p w14:paraId="000000B6" w14:textId="77777777" w:rsidR="006E2537" w:rsidRDefault="005B2A41">
      <w:pPr>
        <w:numPr>
          <w:ilvl w:val="0"/>
          <w:numId w:val="7"/>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 xml:space="preserve">data la peculiarità di SCS s.r.l. non è possibile procedere alla aggregazione con altre società aventi ad oggetto le attività di cui all’art. 4,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poiché siffatta aggregazione ne snaturerebbe il ruolo di holding societaria.</w:t>
      </w:r>
    </w:p>
    <w:p w14:paraId="000000B7"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B8" w14:textId="77777777" w:rsidR="006E2537" w:rsidRDefault="005B2A41">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 *</w:t>
      </w:r>
    </w:p>
    <w:p w14:paraId="000000B9" w14:textId="77777777" w:rsidR="006E2537" w:rsidRDefault="006E2537">
      <w:pPr>
        <w:pBdr>
          <w:top w:val="nil"/>
          <w:left w:val="nil"/>
          <w:bottom w:val="nil"/>
          <w:right w:val="nil"/>
          <w:between w:val="nil"/>
        </w:pBdr>
        <w:jc w:val="both"/>
        <w:rPr>
          <w:rFonts w:ascii="Garamond" w:eastAsia="Garamond" w:hAnsi="Garamond" w:cs="Garamond"/>
          <w:color w:val="000000"/>
          <w:sz w:val="24"/>
          <w:szCs w:val="24"/>
        </w:rPr>
      </w:pPr>
    </w:p>
    <w:p w14:paraId="000000BA" w14:textId="77777777" w:rsidR="006E2537" w:rsidRDefault="005B2A41">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i/>
          <w:color w:val="000000"/>
          <w:sz w:val="24"/>
          <w:szCs w:val="24"/>
          <w:u w:val="single"/>
        </w:rPr>
        <w:t xml:space="preserve">2.3. – </w:t>
      </w:r>
      <w:r>
        <w:rPr>
          <w:rFonts w:ascii="Garamond" w:eastAsia="Garamond" w:hAnsi="Garamond" w:cs="Garamond"/>
          <w:b/>
          <w:color w:val="000000"/>
          <w:sz w:val="24"/>
          <w:szCs w:val="24"/>
          <w:u w:val="single"/>
        </w:rPr>
        <w:t xml:space="preserve">REI </w:t>
      </w:r>
      <w:proofErr w:type="spellStart"/>
      <w:r>
        <w:rPr>
          <w:rFonts w:ascii="Garamond" w:eastAsia="Garamond" w:hAnsi="Garamond" w:cs="Garamond"/>
          <w:b/>
          <w:color w:val="000000"/>
          <w:sz w:val="24"/>
          <w:szCs w:val="24"/>
          <w:u w:val="single"/>
        </w:rPr>
        <w:t>Reindustria</w:t>
      </w:r>
      <w:proofErr w:type="spellEnd"/>
      <w:r>
        <w:rPr>
          <w:rFonts w:ascii="Garamond" w:eastAsia="Garamond" w:hAnsi="Garamond" w:cs="Garamond"/>
          <w:b/>
          <w:color w:val="000000"/>
          <w:sz w:val="24"/>
          <w:szCs w:val="24"/>
          <w:u w:val="single"/>
        </w:rPr>
        <w:t xml:space="preserve"> Innovazione </w:t>
      </w:r>
      <w:proofErr w:type="spellStart"/>
      <w:r>
        <w:rPr>
          <w:rFonts w:ascii="Garamond" w:eastAsia="Garamond" w:hAnsi="Garamond" w:cs="Garamond"/>
          <w:b/>
          <w:color w:val="000000"/>
          <w:sz w:val="24"/>
          <w:szCs w:val="24"/>
          <w:u w:val="single"/>
        </w:rPr>
        <w:t>s.c.r.l</w:t>
      </w:r>
      <w:proofErr w:type="spellEnd"/>
      <w:r>
        <w:rPr>
          <w:rFonts w:ascii="Garamond" w:eastAsia="Garamond" w:hAnsi="Garamond" w:cs="Garamond"/>
          <w:b/>
          <w:color w:val="000000"/>
          <w:sz w:val="24"/>
          <w:szCs w:val="24"/>
          <w:u w:val="single"/>
        </w:rPr>
        <w:t>.</w:t>
      </w:r>
    </w:p>
    <w:p w14:paraId="000000BB"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BC"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 società è partecipata per lo 0,35% mediante SCRP (valore nominale della quota: euro 752,62). </w:t>
      </w:r>
    </w:p>
    <w:p w14:paraId="000000BD"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BE"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La compagine svolge un ruolo di primaria importanza per lo sviluppo commerciale e sociale dell’ambito territoriale di riferimento.</w:t>
      </w:r>
    </w:p>
    <w:p w14:paraId="000000BF"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C0"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Mediante REI, i Comuni del Cremasco (soci per il tramite di SCRP) promuovono lo sviluppo socio-economico, con particolare riguardo alle piccole e medie imprese, che compongono il tessuto produttivo del territorio locale. Essa crea e/o individua le opportunità per mettere a sistema soluzioni condivise e concrete per fabbisogni territoriali ampi. È un centro di razionalizzazione che si focalizza su progettualità sovracomunali e con impatto nel lungo termine.</w:t>
      </w:r>
    </w:p>
    <w:p w14:paraId="000000C1"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C2"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REI consente il coordinamento fra Enti Locali, Associazioni di Categoria, ed Enti Territoriali di diritto pubblico e privato, con lo scopo comune di creare occasioni imprenditoriali e lavorative. Questi i soci:</w:t>
      </w:r>
    </w:p>
    <w:p w14:paraId="000000C3"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CCIA Cremona;</w:t>
      </w:r>
    </w:p>
    <w:p w14:paraId="000000C4"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Cremasca Servizi S.r.l.;</w:t>
      </w:r>
    </w:p>
    <w:p w14:paraId="000000C5"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Comune di Cremona;</w:t>
      </w:r>
    </w:p>
    <w:p w14:paraId="000000C6"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Comune di Casalmaggiore;</w:t>
      </w:r>
    </w:p>
    <w:p w14:paraId="000000C7"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S.C.R.P. S.p.A.;</w:t>
      </w:r>
    </w:p>
    <w:p w14:paraId="000000C8"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Confartigianato;</w:t>
      </w:r>
    </w:p>
    <w:p w14:paraId="000000C9"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Libera Associazione Artigiani;</w:t>
      </w:r>
    </w:p>
    <w:p w14:paraId="000000CA"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ASCOM Crema;</w:t>
      </w:r>
    </w:p>
    <w:p w14:paraId="000000CB"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Sistema Impresa ASVICOM Cremona;</w:t>
      </w:r>
    </w:p>
    <w:p w14:paraId="000000CC"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Associazione Industriali Cremona;</w:t>
      </w:r>
    </w:p>
    <w:p w14:paraId="000000CD"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Confcooperative;</w:t>
      </w:r>
    </w:p>
    <w:p w14:paraId="000000CE"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Confcommercio Cremona;</w:t>
      </w:r>
    </w:p>
    <w:p w14:paraId="000000CF"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Camera del Lavoro di Cremona;</w:t>
      </w:r>
    </w:p>
    <w:p w14:paraId="000000D0"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BCC Banca Cremasca e Mantovana;</w:t>
      </w:r>
    </w:p>
    <w:p w14:paraId="000000D1"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Banco BPM;</w:t>
      </w:r>
    </w:p>
    <w:p w14:paraId="000000D2"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BCC Cassa Rurale Adda e Cremasco;</w:t>
      </w:r>
    </w:p>
    <w:p w14:paraId="000000D3"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Credito Padano;</w:t>
      </w:r>
    </w:p>
    <w:p w14:paraId="000000D4"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lastRenderedPageBreak/>
        <w:t>Cassa Padana;</w:t>
      </w:r>
    </w:p>
    <w:p w14:paraId="000000D5"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proofErr w:type="spellStart"/>
      <w:r>
        <w:rPr>
          <w:rFonts w:ascii="Garamond" w:eastAsia="Garamond" w:hAnsi="Garamond" w:cs="Garamond"/>
          <w:color w:val="000000"/>
          <w:sz w:val="24"/>
          <w:szCs w:val="24"/>
        </w:rPr>
        <w:t>Cremonafiere</w:t>
      </w:r>
      <w:proofErr w:type="spellEnd"/>
      <w:r>
        <w:rPr>
          <w:rFonts w:ascii="Garamond" w:eastAsia="Garamond" w:hAnsi="Garamond" w:cs="Garamond"/>
          <w:color w:val="000000"/>
          <w:sz w:val="24"/>
          <w:szCs w:val="24"/>
        </w:rPr>
        <w:t>;</w:t>
      </w:r>
    </w:p>
    <w:p w14:paraId="000000D6" w14:textId="77777777" w:rsidR="006E2537" w:rsidRDefault="005B2A41">
      <w:pPr>
        <w:numPr>
          <w:ilvl w:val="0"/>
          <w:numId w:val="1"/>
        </w:numPr>
        <w:pBdr>
          <w:top w:val="nil"/>
          <w:left w:val="nil"/>
          <w:bottom w:val="nil"/>
          <w:right w:val="nil"/>
          <w:between w:val="nil"/>
        </w:pBdr>
        <w:ind w:left="0" w:firstLine="709"/>
        <w:jc w:val="both"/>
        <w:rPr>
          <w:color w:val="000000"/>
          <w:sz w:val="24"/>
          <w:szCs w:val="24"/>
        </w:rPr>
      </w:pPr>
      <w:r>
        <w:rPr>
          <w:rFonts w:ascii="Garamond" w:eastAsia="Garamond" w:hAnsi="Garamond" w:cs="Garamond"/>
          <w:color w:val="000000"/>
          <w:sz w:val="24"/>
          <w:szCs w:val="24"/>
        </w:rPr>
        <w:t>CISL, CGIL e UIL.</w:t>
      </w:r>
    </w:p>
    <w:p w14:paraId="000000D7"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D8"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In coerenza agli scopi statutari, REI coordina, promuove e supporta la presentazione di progetti cofinanziati da Regione Lombardia. Allo stato attuale, REI risulta capofila di due progetti finanziati da Regione Lombardia per complessivi € 9.000.000, con un investimento totale di € 17.000.000 sostenuto da soggetti pubblici (università) e privati. Tenuto conto dell’attività di monitoraggio e rendicontazione dei predetti progetti, le relative incombenze si protrarranno sino a tutto il 2023.</w:t>
      </w:r>
    </w:p>
    <w:p w14:paraId="000000D9"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DA"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Con riferimento ai parametri di cui all’art. 20, comma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si rileva quanto segue:</w:t>
      </w:r>
    </w:p>
    <w:p w14:paraId="000000DB" w14:textId="77777777" w:rsidR="006E2537" w:rsidRDefault="005B2A41">
      <w:pPr>
        <w:numPr>
          <w:ilvl w:val="0"/>
          <w:numId w:val="9"/>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REI cura e promuove azioni sinergiche, pubblico-private, di marketing territoriale, innovazione, ricerca e supporto nel reperimento di finanziamenti pubblici per favorire l’insediamento e lo sviluppo di imprese e dell’occupazione, sicché tale attività appare inerente alle finalità istituzionali del Comune ed in particolare ascrivibile alla categoria dei servizi di interesse generale, di cui all’art. 4, comma 2, lett. a),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w:t>
      </w:r>
    </w:p>
    <w:p w14:paraId="000000DC" w14:textId="77777777" w:rsidR="006E2537" w:rsidRDefault="005B2A41">
      <w:pPr>
        <w:numPr>
          <w:ilvl w:val="0"/>
          <w:numId w:val="9"/>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la società è amministrata da un consiglio di amministrazione formato da nove componenti, compreso il presidente (tutti privi di compensi), al fine di garantire la più ampia rappresentatività delle componenti pubbliche e private che ne formano la compagine sociale; con riferimento ai dipendenti, in base all’ultimo bilancio depositato, relativo all’anno 2020, il numero risulta essere di 8 unità;</w:t>
      </w:r>
    </w:p>
    <w:p w14:paraId="000000DD" w14:textId="77777777" w:rsidR="006E2537" w:rsidRDefault="005B2A41">
      <w:pPr>
        <w:numPr>
          <w:ilvl w:val="0"/>
          <w:numId w:val="9"/>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non vi sono altre società, partecipate (direttamente o indirettamente) dal Comune, che svolgano attività analoghe o similari a quelle di REI;</w:t>
      </w:r>
    </w:p>
    <w:p w14:paraId="000000DE" w14:textId="77777777" w:rsidR="006E2537" w:rsidRDefault="005B2A41">
      <w:pPr>
        <w:numPr>
          <w:ilvl w:val="0"/>
          <w:numId w:val="9"/>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il fatturato medio annuo del triennio 2018/2020 è risultato non superiore al milione di euro (valore della produzione di € 484.017, di cui € 322.136 per contributi in conto esercizio, nel 2020; valore della produzione di € 519.739, di cui € 434.250 per contributi di esercizio, nel 2019);</w:t>
      </w:r>
    </w:p>
    <w:p w14:paraId="000000DF" w14:textId="77777777" w:rsidR="006E2537" w:rsidRDefault="005B2A41">
      <w:pPr>
        <w:numPr>
          <w:ilvl w:val="0"/>
          <w:numId w:val="9"/>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in disparte lo svolgimento di servizi di interesse generale, non si è verificata la circostanza della chiusura in negativo di quattro dei cinque ultimi bilanci (nell’esercizio 2020 si è registrato un utile netto di € 13.903, nel precedente esercizio 2019 l’utile era stato di € 46.835);</w:t>
      </w:r>
    </w:p>
    <w:p w14:paraId="000000E0" w14:textId="77777777" w:rsidR="006E2537" w:rsidRDefault="005B2A41">
      <w:pPr>
        <w:numPr>
          <w:ilvl w:val="0"/>
          <w:numId w:val="9"/>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alla luce dell’andamento dei conti della società, non risultano necessari interventi di ulteriore contenimento dei costi di funzionamento, posto che i componenti l’organo amministrativo non percepiscono alcun compenso;</w:t>
      </w:r>
    </w:p>
    <w:p w14:paraId="000000E1" w14:textId="77777777" w:rsidR="006E2537" w:rsidRDefault="005B2A41">
      <w:pPr>
        <w:numPr>
          <w:ilvl w:val="0"/>
          <w:numId w:val="9"/>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non risultano necessarie aggregazioni societarie, poiché la società copre pressoché interamente il bacino provinciale ed opera dunque in un vasto territorio, coinvolgendo i principali attori pubblici e privati.</w:t>
      </w:r>
    </w:p>
    <w:p w14:paraId="000000E2" w14:textId="77777777" w:rsidR="006E2537" w:rsidRDefault="006E2537">
      <w:pPr>
        <w:pBdr>
          <w:top w:val="nil"/>
          <w:left w:val="nil"/>
          <w:bottom w:val="nil"/>
          <w:right w:val="nil"/>
          <w:between w:val="nil"/>
        </w:pBdr>
        <w:jc w:val="both"/>
        <w:rPr>
          <w:rFonts w:ascii="Garamond" w:eastAsia="Garamond" w:hAnsi="Garamond" w:cs="Garamond"/>
          <w:color w:val="000000"/>
          <w:sz w:val="24"/>
          <w:szCs w:val="24"/>
        </w:rPr>
      </w:pPr>
    </w:p>
    <w:p w14:paraId="000000E3" w14:textId="77777777" w:rsidR="006E2537" w:rsidRDefault="005B2A41">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 *</w:t>
      </w:r>
    </w:p>
    <w:p w14:paraId="000000E4" w14:textId="77777777" w:rsidR="006E2537" w:rsidRDefault="006E2537">
      <w:pPr>
        <w:pBdr>
          <w:top w:val="nil"/>
          <w:left w:val="nil"/>
          <w:bottom w:val="nil"/>
          <w:right w:val="nil"/>
          <w:between w:val="nil"/>
        </w:pBdr>
        <w:jc w:val="both"/>
        <w:rPr>
          <w:rFonts w:ascii="Garamond" w:eastAsia="Garamond" w:hAnsi="Garamond" w:cs="Garamond"/>
          <w:color w:val="000000"/>
          <w:sz w:val="24"/>
          <w:szCs w:val="24"/>
        </w:rPr>
      </w:pPr>
    </w:p>
    <w:p w14:paraId="000000E5" w14:textId="77777777" w:rsidR="006E2537" w:rsidRDefault="005B2A41">
      <w:pPr>
        <w:pBdr>
          <w:top w:val="nil"/>
          <w:left w:val="nil"/>
          <w:bottom w:val="nil"/>
          <w:right w:val="nil"/>
          <w:between w:val="nil"/>
        </w:pBdr>
        <w:spacing w:after="200"/>
        <w:rPr>
          <w:rFonts w:ascii="Garamond" w:eastAsia="Garamond" w:hAnsi="Garamond" w:cs="Garamond"/>
          <w:color w:val="000000"/>
          <w:sz w:val="24"/>
          <w:szCs w:val="24"/>
        </w:rPr>
      </w:pPr>
      <w:r>
        <w:rPr>
          <w:rFonts w:ascii="Garamond" w:eastAsia="Garamond" w:hAnsi="Garamond" w:cs="Garamond"/>
          <w:b/>
          <w:i/>
          <w:color w:val="000000"/>
          <w:sz w:val="24"/>
          <w:szCs w:val="24"/>
          <w:u w:val="single"/>
        </w:rPr>
        <w:t xml:space="preserve">2.4. – </w:t>
      </w:r>
      <w:r>
        <w:rPr>
          <w:rFonts w:ascii="Garamond" w:eastAsia="Garamond" w:hAnsi="Garamond" w:cs="Garamond"/>
          <w:b/>
          <w:color w:val="000000"/>
          <w:sz w:val="24"/>
          <w:szCs w:val="24"/>
          <w:u w:val="single"/>
        </w:rPr>
        <w:t xml:space="preserve">GAL Terre del Po </w:t>
      </w:r>
      <w:proofErr w:type="spellStart"/>
      <w:r>
        <w:rPr>
          <w:rFonts w:ascii="Garamond" w:eastAsia="Garamond" w:hAnsi="Garamond" w:cs="Garamond"/>
          <w:b/>
          <w:color w:val="000000"/>
          <w:sz w:val="24"/>
          <w:szCs w:val="24"/>
          <w:u w:val="single"/>
        </w:rPr>
        <w:t>s.c.r.l</w:t>
      </w:r>
      <w:proofErr w:type="spellEnd"/>
      <w:r>
        <w:rPr>
          <w:rFonts w:ascii="Garamond" w:eastAsia="Garamond" w:hAnsi="Garamond" w:cs="Garamond"/>
          <w:b/>
          <w:color w:val="000000"/>
          <w:sz w:val="24"/>
          <w:szCs w:val="24"/>
          <w:u w:val="single"/>
        </w:rPr>
        <w:t>.</w:t>
      </w:r>
    </w:p>
    <w:p w14:paraId="000000E6"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Gruppo di Azione Locale “Terre del Po” è una società consortile senza fini di lucro, partecipata da Padania Acque al 2,113%, avente come scopo sociale </w:t>
      </w:r>
      <w:r>
        <w:rPr>
          <w:rFonts w:ascii="Garamond" w:eastAsia="Garamond" w:hAnsi="Garamond" w:cs="Garamond"/>
          <w:color w:val="000000"/>
          <w:sz w:val="24"/>
          <w:szCs w:val="24"/>
        </w:rPr>
        <w:lastRenderedPageBreak/>
        <w:t>il miglioramento delle zone rurali attraverso il sostegno, lo sviluppo del territorio e la valorizzazione delle risorse ambientali.</w:t>
      </w:r>
    </w:p>
    <w:p w14:paraId="000000E7"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E8"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Esso ha adottato un </w:t>
      </w:r>
      <w:r>
        <w:rPr>
          <w:rFonts w:ascii="Garamond" w:eastAsia="Garamond" w:hAnsi="Garamond" w:cs="Garamond"/>
          <w:i/>
          <w:color w:val="000000"/>
          <w:sz w:val="24"/>
          <w:szCs w:val="24"/>
        </w:rPr>
        <w:t xml:space="preserve">Piano di sviluppo </w:t>
      </w:r>
      <w:r>
        <w:rPr>
          <w:rFonts w:ascii="Garamond" w:eastAsia="Garamond" w:hAnsi="Garamond" w:cs="Garamond"/>
          <w:color w:val="000000"/>
          <w:sz w:val="24"/>
          <w:szCs w:val="24"/>
        </w:rPr>
        <w:t xml:space="preserve">per gli anni 2014 – 2020, volto </w:t>
      </w:r>
    </w:p>
    <w:p w14:paraId="000000E9" w14:textId="3FF32086"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b/>
          <w:i/>
          <w:color w:val="000000"/>
          <w:sz w:val="24"/>
          <w:szCs w:val="24"/>
        </w:rPr>
        <w:t>(ì)</w:t>
      </w:r>
      <w:r>
        <w:rPr>
          <w:rFonts w:ascii="Garamond" w:eastAsia="Garamond" w:hAnsi="Garamond" w:cs="Garamond"/>
          <w:color w:val="000000"/>
          <w:sz w:val="24"/>
          <w:szCs w:val="24"/>
        </w:rPr>
        <w:t xml:space="preserve"> a rendere più efficace l’utilizzo delle risorse comunitarie, con l’obiettivo di “</w:t>
      </w:r>
      <w:r>
        <w:rPr>
          <w:rFonts w:ascii="Garamond" w:eastAsia="Garamond" w:hAnsi="Garamond" w:cs="Garamond"/>
          <w:i/>
          <w:color w:val="000000"/>
          <w:sz w:val="24"/>
          <w:szCs w:val="24"/>
        </w:rPr>
        <w:t>far crescere l’identità territoriale locale tramite un maggior coinvolgimento di soggetti altri rispetto a quelli pubblici che possano garantire una continuità di intervento anche al di là ed oltre il periodo di programmazione 2010-2020</w:t>
      </w:r>
      <w:r>
        <w:rPr>
          <w:rFonts w:ascii="Garamond" w:eastAsia="Garamond" w:hAnsi="Garamond" w:cs="Garamond"/>
          <w:color w:val="000000"/>
          <w:sz w:val="24"/>
          <w:szCs w:val="24"/>
        </w:rPr>
        <w:t>.”;</w:t>
      </w:r>
    </w:p>
    <w:p w14:paraId="000000EA"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b/>
          <w:i/>
          <w:color w:val="000000"/>
          <w:sz w:val="24"/>
          <w:szCs w:val="24"/>
        </w:rPr>
        <w:t>(</w:t>
      </w:r>
      <w:proofErr w:type="spellStart"/>
      <w:r>
        <w:rPr>
          <w:rFonts w:ascii="Garamond" w:eastAsia="Garamond" w:hAnsi="Garamond" w:cs="Garamond"/>
          <w:b/>
          <w:i/>
          <w:color w:val="000000"/>
          <w:sz w:val="24"/>
          <w:szCs w:val="24"/>
        </w:rPr>
        <w:t>ìì</w:t>
      </w:r>
      <w:proofErr w:type="spellEnd"/>
      <w:r>
        <w:rPr>
          <w:rFonts w:ascii="Garamond" w:eastAsia="Garamond" w:hAnsi="Garamond" w:cs="Garamond"/>
          <w:b/>
          <w:i/>
          <w:color w:val="000000"/>
          <w:sz w:val="24"/>
          <w:szCs w:val="24"/>
        </w:rPr>
        <w:t>)</w:t>
      </w:r>
      <w:r>
        <w:rPr>
          <w:rFonts w:ascii="Garamond" w:eastAsia="Garamond" w:hAnsi="Garamond" w:cs="Garamond"/>
          <w:color w:val="000000"/>
          <w:sz w:val="24"/>
          <w:szCs w:val="24"/>
        </w:rPr>
        <w:t xml:space="preserve"> delineare, anche nel lungo termine, un percorso di sviluppo sostenibile, coerente ed efficace in termini di capitalizzazione delle risorse.</w:t>
      </w:r>
    </w:p>
    <w:p w14:paraId="000000EB"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EC" w14:textId="68E20CA0"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Il GAL inoltre sta agendo per ottenere un sempre maggior coinvolgimento degli istituti di credito, e per monitorare continuamente ed efficacemente l</w:t>
      </w:r>
      <w:r w:rsidR="00773A48">
        <w:rPr>
          <w:rFonts w:ascii="Garamond" w:eastAsia="Garamond" w:hAnsi="Garamond" w:cs="Garamond"/>
          <w:color w:val="000000"/>
          <w:sz w:val="24"/>
          <w:szCs w:val="24"/>
        </w:rPr>
        <w:t>’</w:t>
      </w:r>
      <w:r>
        <w:rPr>
          <w:rFonts w:ascii="Garamond" w:eastAsia="Garamond" w:hAnsi="Garamond" w:cs="Garamond"/>
          <w:color w:val="000000"/>
          <w:sz w:val="24"/>
          <w:szCs w:val="24"/>
        </w:rPr>
        <w:t>attuazione dei piani.</w:t>
      </w:r>
    </w:p>
    <w:p w14:paraId="000000ED"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EE"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Il tutto al fine di promuovere la filiera, la vendita di prodotti locali, ed in generale le attività cui sono interessati gli operatori economici che rientrano nell’area cremonese e mantovana del Po’.</w:t>
      </w:r>
    </w:p>
    <w:p w14:paraId="000000EF"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F0" w14:textId="49CF4704"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Stanti gli interessi pubblici sottesi – crescita locale, tutela del territorio, sviluppo economico - e la mancanza di criticità, la partecipazione è ancora conforme ai limiti normativi, essendo l</w:t>
      </w:r>
      <w:r w:rsidR="00773A48">
        <w:rPr>
          <w:rFonts w:ascii="Garamond" w:eastAsia="Garamond" w:hAnsi="Garamond" w:cs="Garamond"/>
          <w:color w:val="000000"/>
          <w:sz w:val="24"/>
          <w:szCs w:val="24"/>
        </w:rPr>
        <w:t>’</w:t>
      </w:r>
      <w:r>
        <w:rPr>
          <w:rFonts w:ascii="Garamond" w:eastAsia="Garamond" w:hAnsi="Garamond" w:cs="Garamond"/>
          <w:color w:val="000000"/>
          <w:sz w:val="24"/>
          <w:szCs w:val="24"/>
        </w:rPr>
        <w:t>attività svolta un servizio di interesse generale.</w:t>
      </w:r>
    </w:p>
    <w:p w14:paraId="000000F1"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F2"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Con riferimento ai parametri di cui all’art. 20, comma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si rileva quanto segue:</w:t>
      </w:r>
    </w:p>
    <w:p w14:paraId="000000F3" w14:textId="77777777" w:rsidR="006E2537" w:rsidRDefault="005B2A41">
      <w:pPr>
        <w:numPr>
          <w:ilvl w:val="0"/>
          <w:numId w:val="10"/>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in virtù dell’art 3 dello statuto, “</w:t>
      </w:r>
      <w:r>
        <w:rPr>
          <w:rFonts w:ascii="Garamond" w:eastAsia="Garamond" w:hAnsi="Garamond" w:cs="Garamond"/>
          <w:i/>
          <w:color w:val="000000"/>
          <w:sz w:val="24"/>
          <w:szCs w:val="24"/>
        </w:rPr>
        <w:t>la società, senza fini di lucro, ha lo scopo di gestire il PSL – Piano di Sviluppo Locale approvato dalla Regione Lombardia per il periodo 2014-2020</w:t>
      </w:r>
      <w:r>
        <w:rPr>
          <w:rFonts w:ascii="Garamond" w:eastAsia="Garamond" w:hAnsi="Garamond" w:cs="Garamond"/>
          <w:color w:val="000000"/>
          <w:sz w:val="24"/>
          <w:szCs w:val="24"/>
        </w:rPr>
        <w:t xml:space="preserve">”, di talché rientra nella casistica prevista dall’art. 4, comma 6,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in forza del quale è “</w:t>
      </w:r>
      <w:r>
        <w:rPr>
          <w:rFonts w:ascii="Garamond" w:eastAsia="Garamond" w:hAnsi="Garamond" w:cs="Garamond"/>
          <w:i/>
          <w:color w:val="000000"/>
          <w:sz w:val="24"/>
          <w:szCs w:val="24"/>
        </w:rPr>
        <w:t>fatta salva la possibilità di costituire società o enti in attuazione dell’articolo 34 del regolamento (CE) n. 1303/2013 del Parlamento europeo e del Consiglio del 17 dicembre 2013 e dell’articolo 61 del regolamento (CE) n. 508 del 2014 del Parlamento europeo e del Consiglio 15 maggio 2014</w:t>
      </w:r>
      <w:r>
        <w:rPr>
          <w:rFonts w:ascii="Garamond" w:eastAsia="Garamond" w:hAnsi="Garamond" w:cs="Garamond"/>
          <w:color w:val="000000"/>
          <w:sz w:val="24"/>
          <w:szCs w:val="24"/>
        </w:rPr>
        <w:t>”;</w:t>
      </w:r>
    </w:p>
    <w:p w14:paraId="000000F4" w14:textId="77777777" w:rsidR="006E2537" w:rsidRDefault="005B2A41">
      <w:pPr>
        <w:numPr>
          <w:ilvl w:val="0"/>
          <w:numId w:val="10"/>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la società è amministrata da un consiglio di amministrazione formato da 11 componenti, compreso il presidente (tutti privi di compensi), al fine di garantire la più ampia rappresentatività delle componenti pubbliche e private che ne formano la compagine sociale;</w:t>
      </w:r>
    </w:p>
    <w:p w14:paraId="000000F5" w14:textId="77777777" w:rsidR="006E2537" w:rsidRDefault="005B2A41">
      <w:pPr>
        <w:numPr>
          <w:ilvl w:val="0"/>
          <w:numId w:val="10"/>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non vi sono altre società, partecipate (direttamente o indirettamente) dal Comune, che svolgano attività analoghe o similari a quelle del GAL “Terre del Po” (con riferimento al medesimo ambito territoriale);</w:t>
      </w:r>
    </w:p>
    <w:p w14:paraId="000000F6" w14:textId="77777777" w:rsidR="006E2537" w:rsidRDefault="005B2A41">
      <w:pPr>
        <w:numPr>
          <w:ilvl w:val="0"/>
          <w:numId w:val="10"/>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 xml:space="preserve">il fatturato medio annuo del triennio 2018/2020 è risultato non superiore al milione di euro, ma siffatta condizione non appare indice di inefficienza, poiché è connaturata alla peculiarità dello strumento dei gruppi di azione locale (significativamente oggetto di una espressa deroga pure rispetto ai parametri dell’art. 4, commi 1 e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poiché ciascun G.A.L. è costituito quale strumento societario dedito alla gestione di uno specifico piano di sviluppo locale;  </w:t>
      </w:r>
    </w:p>
    <w:p w14:paraId="000000F7" w14:textId="77777777" w:rsidR="006E2537" w:rsidRDefault="005B2A41">
      <w:pPr>
        <w:numPr>
          <w:ilvl w:val="0"/>
          <w:numId w:val="10"/>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non si è verificata la circostanza della chiusura in negativo di quattro dei cinque ultimi bilanci (nell’esercizio 2020 si è registrato un utile netto di € 8.218, nel precedente esercizio 2019 l’utile era stato di € 7.038);</w:t>
      </w:r>
    </w:p>
    <w:p w14:paraId="000000F8" w14:textId="77777777" w:rsidR="006E2537" w:rsidRDefault="005B2A41">
      <w:pPr>
        <w:numPr>
          <w:ilvl w:val="0"/>
          <w:numId w:val="10"/>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lastRenderedPageBreak/>
        <w:t>alla luce dell’andamento dei conti della società, non risultano necessari interventi di contenimento dei costi di funzionamento;</w:t>
      </w:r>
    </w:p>
    <w:p w14:paraId="000000F9" w14:textId="77777777" w:rsidR="006E2537" w:rsidRDefault="005B2A41">
      <w:pPr>
        <w:numPr>
          <w:ilvl w:val="0"/>
          <w:numId w:val="10"/>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non risultano necessarie aggregazioni societarie, poiché la società ha precipuo scopo, a termine, legato alla gestione di un piano di sviluppo locale finanziato da Regione Lombardia.</w:t>
      </w:r>
    </w:p>
    <w:p w14:paraId="000000FA" w14:textId="77777777" w:rsidR="006E2537" w:rsidRDefault="006E2537">
      <w:pPr>
        <w:pBdr>
          <w:top w:val="nil"/>
          <w:left w:val="nil"/>
          <w:bottom w:val="nil"/>
          <w:right w:val="nil"/>
          <w:between w:val="nil"/>
        </w:pBdr>
        <w:rPr>
          <w:rFonts w:ascii="Garamond" w:eastAsia="Garamond" w:hAnsi="Garamond" w:cs="Garamond"/>
          <w:color w:val="000000"/>
          <w:sz w:val="24"/>
          <w:szCs w:val="24"/>
        </w:rPr>
      </w:pPr>
    </w:p>
    <w:p w14:paraId="000000FB" w14:textId="77777777" w:rsidR="006E2537" w:rsidRDefault="005B2A41">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 *</w:t>
      </w:r>
    </w:p>
    <w:p w14:paraId="000000FC" w14:textId="77777777" w:rsidR="006E2537" w:rsidRDefault="006E2537">
      <w:pPr>
        <w:pBdr>
          <w:top w:val="nil"/>
          <w:left w:val="nil"/>
          <w:bottom w:val="nil"/>
          <w:right w:val="nil"/>
          <w:between w:val="nil"/>
        </w:pBdr>
        <w:rPr>
          <w:rFonts w:ascii="Garamond" w:eastAsia="Garamond" w:hAnsi="Garamond" w:cs="Garamond"/>
          <w:color w:val="000000"/>
          <w:sz w:val="24"/>
          <w:szCs w:val="24"/>
        </w:rPr>
      </w:pPr>
    </w:p>
    <w:p w14:paraId="000000FD" w14:textId="77777777" w:rsidR="006E2537" w:rsidRDefault="005B2A41">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i/>
          <w:color w:val="000000"/>
          <w:sz w:val="24"/>
          <w:szCs w:val="24"/>
          <w:u w:val="single"/>
        </w:rPr>
        <w:t xml:space="preserve">2.5. – </w:t>
      </w:r>
      <w:r>
        <w:rPr>
          <w:rFonts w:ascii="Garamond" w:eastAsia="Garamond" w:hAnsi="Garamond" w:cs="Garamond"/>
          <w:b/>
          <w:color w:val="000000"/>
          <w:sz w:val="24"/>
          <w:szCs w:val="24"/>
          <w:u w:val="single"/>
        </w:rPr>
        <w:t xml:space="preserve">GAL Oglio Po </w:t>
      </w:r>
      <w:proofErr w:type="spellStart"/>
      <w:r>
        <w:rPr>
          <w:rFonts w:ascii="Garamond" w:eastAsia="Garamond" w:hAnsi="Garamond" w:cs="Garamond"/>
          <w:b/>
          <w:color w:val="000000"/>
          <w:sz w:val="24"/>
          <w:szCs w:val="24"/>
          <w:u w:val="single"/>
        </w:rPr>
        <w:t>s.c.r.l</w:t>
      </w:r>
      <w:proofErr w:type="spellEnd"/>
      <w:r>
        <w:rPr>
          <w:rFonts w:ascii="Garamond" w:eastAsia="Garamond" w:hAnsi="Garamond" w:cs="Garamond"/>
          <w:b/>
          <w:color w:val="000000"/>
          <w:sz w:val="24"/>
          <w:szCs w:val="24"/>
          <w:u w:val="single"/>
        </w:rPr>
        <w:t>.</w:t>
      </w:r>
    </w:p>
    <w:p w14:paraId="000000FE"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0FF"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Gruppo di Azione Locale “Oglio Po” </w:t>
      </w:r>
      <w:proofErr w:type="spellStart"/>
      <w:r>
        <w:rPr>
          <w:rFonts w:ascii="Garamond" w:eastAsia="Garamond" w:hAnsi="Garamond" w:cs="Garamond"/>
          <w:color w:val="000000"/>
          <w:sz w:val="24"/>
          <w:szCs w:val="24"/>
        </w:rPr>
        <w:t>s.c.r.l</w:t>
      </w:r>
      <w:proofErr w:type="spellEnd"/>
      <w:r>
        <w:rPr>
          <w:rFonts w:ascii="Garamond" w:eastAsia="Garamond" w:hAnsi="Garamond" w:cs="Garamond"/>
          <w:color w:val="000000"/>
          <w:sz w:val="24"/>
          <w:szCs w:val="24"/>
        </w:rPr>
        <w:t xml:space="preserve">. è una società consortile senza fini di lucro. La partecipazione in essa di Padania Acque si è ridotta nel 2018 dal 2,632% all’1,276%., in esito alla operazione straordinaria con GAL Oglio Po Terre d’Acqua </w:t>
      </w:r>
      <w:proofErr w:type="spellStart"/>
      <w:r>
        <w:rPr>
          <w:rFonts w:ascii="Garamond" w:eastAsia="Garamond" w:hAnsi="Garamond" w:cs="Garamond"/>
          <w:color w:val="000000"/>
          <w:sz w:val="24"/>
          <w:szCs w:val="24"/>
        </w:rPr>
        <w:t>s.c.r.l</w:t>
      </w:r>
      <w:proofErr w:type="spellEnd"/>
      <w:r>
        <w:rPr>
          <w:rFonts w:ascii="Garamond" w:eastAsia="Garamond" w:hAnsi="Garamond" w:cs="Garamond"/>
          <w:color w:val="000000"/>
          <w:sz w:val="24"/>
          <w:szCs w:val="24"/>
        </w:rPr>
        <w:t>..</w:t>
      </w:r>
    </w:p>
    <w:p w14:paraId="00000100"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01"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Lo scopo sociale è il miglioramento delle zone rurali attraverso il sostegno, lo sviluppo del territorio e la valorizzazione delle risorse ambientali.</w:t>
      </w:r>
    </w:p>
    <w:p w14:paraId="00000102"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03"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Esso ha adottato un </w:t>
      </w:r>
      <w:r>
        <w:rPr>
          <w:rFonts w:ascii="Garamond" w:eastAsia="Garamond" w:hAnsi="Garamond" w:cs="Garamond"/>
          <w:i/>
          <w:color w:val="000000"/>
          <w:sz w:val="24"/>
          <w:szCs w:val="24"/>
        </w:rPr>
        <w:t xml:space="preserve">Piano di sviluppo </w:t>
      </w:r>
      <w:r>
        <w:rPr>
          <w:rFonts w:ascii="Garamond" w:eastAsia="Garamond" w:hAnsi="Garamond" w:cs="Garamond"/>
          <w:color w:val="000000"/>
          <w:sz w:val="24"/>
          <w:szCs w:val="24"/>
        </w:rPr>
        <w:t>per gli anni 2014 – 2020, finalizzato a rafforzare lo sviluppo territoriale equilibrato favorendo occupazione, innovazione e qualità della vita, mediante tre obiettivi specifici:</w:t>
      </w:r>
    </w:p>
    <w:p w14:paraId="00000104"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b/>
          <w:i/>
          <w:color w:val="000000"/>
          <w:sz w:val="24"/>
          <w:szCs w:val="24"/>
        </w:rPr>
        <w:t>1)</w:t>
      </w:r>
      <w:r>
        <w:rPr>
          <w:rFonts w:ascii="Garamond" w:eastAsia="Garamond" w:hAnsi="Garamond" w:cs="Garamond"/>
          <w:color w:val="000000"/>
          <w:sz w:val="24"/>
          <w:szCs w:val="24"/>
        </w:rPr>
        <w:t xml:space="preserve"> promuovere la crescita qualitativa e competitiva delle imprese e dei sistemi produttivi;</w:t>
      </w:r>
    </w:p>
    <w:p w14:paraId="00000105"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b/>
          <w:i/>
          <w:color w:val="000000"/>
          <w:sz w:val="24"/>
          <w:szCs w:val="24"/>
        </w:rPr>
        <w:t xml:space="preserve">2)  </w:t>
      </w:r>
      <w:r>
        <w:rPr>
          <w:rFonts w:ascii="Garamond" w:eastAsia="Garamond" w:hAnsi="Garamond" w:cs="Garamond"/>
          <w:color w:val="000000"/>
          <w:sz w:val="24"/>
          <w:szCs w:val="24"/>
        </w:rPr>
        <w:t>incrementare il valore ambientale del territorio, quale strategia locale di mitigazione e adattamento;</w:t>
      </w:r>
    </w:p>
    <w:p w14:paraId="00000106"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b/>
          <w:i/>
          <w:color w:val="000000"/>
          <w:sz w:val="24"/>
          <w:szCs w:val="24"/>
        </w:rPr>
        <w:t>3)</w:t>
      </w:r>
      <w:r>
        <w:rPr>
          <w:rFonts w:ascii="Garamond" w:eastAsia="Garamond" w:hAnsi="Garamond" w:cs="Garamond"/>
          <w:color w:val="000000"/>
          <w:sz w:val="24"/>
          <w:szCs w:val="24"/>
        </w:rPr>
        <w:t xml:space="preserve"> promuovere il senso di appartenenza dei cittadini quale leva di responsabilità ambientale, socio-culturale ed economica. </w:t>
      </w:r>
    </w:p>
    <w:p w14:paraId="00000107"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08"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Stanti gli interessi pubblici sottesi – crescita locale, tutela del territorio, sviluppo economico - e la mancanza di criticità, la partecipazione è ancora conforme ai limiti normativi, essendo </w:t>
      </w:r>
      <w:proofErr w:type="spellStart"/>
      <w:r>
        <w:rPr>
          <w:rFonts w:ascii="Garamond" w:eastAsia="Garamond" w:hAnsi="Garamond" w:cs="Garamond"/>
          <w:color w:val="000000"/>
          <w:sz w:val="24"/>
          <w:szCs w:val="24"/>
        </w:rPr>
        <w:t>la attività</w:t>
      </w:r>
      <w:proofErr w:type="spellEnd"/>
      <w:r>
        <w:rPr>
          <w:rFonts w:ascii="Garamond" w:eastAsia="Garamond" w:hAnsi="Garamond" w:cs="Garamond"/>
          <w:color w:val="000000"/>
          <w:sz w:val="24"/>
          <w:szCs w:val="24"/>
        </w:rPr>
        <w:t xml:space="preserve"> svolta un servizio di interesse generale.</w:t>
      </w:r>
    </w:p>
    <w:p w14:paraId="00000109"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0A"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Con riferimento ai parametri di cui all’art. 20, comma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si rileva quanto segue:</w:t>
      </w:r>
    </w:p>
    <w:p w14:paraId="0000010B" w14:textId="77777777" w:rsidR="006E2537" w:rsidRDefault="005B2A41">
      <w:pPr>
        <w:numPr>
          <w:ilvl w:val="0"/>
          <w:numId w:val="6"/>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in virtù dell’art 3 dello statuto, “</w:t>
      </w:r>
      <w:r>
        <w:rPr>
          <w:rFonts w:ascii="Garamond" w:eastAsia="Garamond" w:hAnsi="Garamond" w:cs="Garamond"/>
          <w:i/>
          <w:color w:val="000000"/>
          <w:sz w:val="24"/>
          <w:szCs w:val="24"/>
        </w:rPr>
        <w:t>la società, senza fini di lucro, ha lo scopo di gestire il PSL – Piano di Sviluppo Locale approvato dalla Regione Lombardia nelle aree Leader”</w:t>
      </w:r>
      <w:r>
        <w:rPr>
          <w:rFonts w:ascii="Garamond" w:eastAsia="Garamond" w:hAnsi="Garamond" w:cs="Garamond"/>
          <w:color w:val="000000"/>
          <w:sz w:val="24"/>
          <w:szCs w:val="24"/>
        </w:rPr>
        <w:t xml:space="preserve">, di talché rientra nella casistica prevista dall’art. 4, comma 6,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in forza del quale è “</w:t>
      </w:r>
      <w:r>
        <w:rPr>
          <w:rFonts w:ascii="Garamond" w:eastAsia="Garamond" w:hAnsi="Garamond" w:cs="Garamond"/>
          <w:i/>
          <w:color w:val="000000"/>
          <w:sz w:val="24"/>
          <w:szCs w:val="24"/>
        </w:rPr>
        <w:t>fatta salva la possibilità di costituire società o enti in attuazione dell’articolo 34 del regolamento (CE) n. 1303/2013 del Parlamento europeo e del Consiglio del 17 dicembre 2013 e dell’articolo 61 del regolamento (CE) n. 508 del 2014 del Parlamento europeo e del Consiglio 15 maggio 2014</w:t>
      </w:r>
      <w:r>
        <w:rPr>
          <w:rFonts w:ascii="Garamond" w:eastAsia="Garamond" w:hAnsi="Garamond" w:cs="Garamond"/>
          <w:color w:val="000000"/>
          <w:sz w:val="24"/>
          <w:szCs w:val="24"/>
        </w:rPr>
        <w:t>”;</w:t>
      </w:r>
    </w:p>
    <w:p w14:paraId="0000010C" w14:textId="77777777" w:rsidR="006E2537" w:rsidRDefault="005B2A41">
      <w:pPr>
        <w:numPr>
          <w:ilvl w:val="0"/>
          <w:numId w:val="6"/>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la società è amministrata da un consiglio di amministrazione formato da 9 componenti, compreso il presidente (tutti privi di compensi), al fine di garantire la più ampia rappresentatività delle componenti pubbliche e private che ne formano la compagine sociale;</w:t>
      </w:r>
    </w:p>
    <w:p w14:paraId="0000010D" w14:textId="77777777" w:rsidR="006E2537" w:rsidRDefault="005B2A41">
      <w:pPr>
        <w:numPr>
          <w:ilvl w:val="0"/>
          <w:numId w:val="6"/>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non vi sono altre società, partecipate (direttamente o indirettamente) dal Comune, che svolgano attività analoghe o similari a quelle del GAL “Oglio Po” (con riferimento al medesimo ambito territoriale);</w:t>
      </w:r>
    </w:p>
    <w:p w14:paraId="0000010E" w14:textId="77777777" w:rsidR="006E2537" w:rsidRDefault="005B2A41">
      <w:pPr>
        <w:numPr>
          <w:ilvl w:val="0"/>
          <w:numId w:val="6"/>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il fatturato medio annuo del triennio 2018/2020 è risultato non superiore al milione di euro, ma siffatta condizione non appare indice di inefficienza, poiché è connaturata alla peculiarità dello strumento dei gruppi di azione locale (significativamente oggetto di una espressa deroga pure rispetto ai parametri dell’art. 4, commi 1 e 2, </w:t>
      </w:r>
      <w:proofErr w:type="spellStart"/>
      <w:r>
        <w:rPr>
          <w:rFonts w:ascii="Garamond" w:eastAsia="Garamond" w:hAnsi="Garamond" w:cs="Garamond"/>
          <w:color w:val="000000"/>
          <w:sz w:val="24"/>
          <w:szCs w:val="24"/>
        </w:rPr>
        <w:t>D.Lgs.</w:t>
      </w:r>
      <w:proofErr w:type="spellEnd"/>
      <w:r>
        <w:rPr>
          <w:rFonts w:ascii="Garamond" w:eastAsia="Garamond" w:hAnsi="Garamond" w:cs="Garamond"/>
          <w:color w:val="000000"/>
          <w:sz w:val="24"/>
          <w:szCs w:val="24"/>
        </w:rPr>
        <w:t xml:space="preserve"> 175/2016), poiché ciascun G.A.L. è costituito quale strumento societario dedito alla gestione di uno specifico piano di sviluppo locale; </w:t>
      </w:r>
    </w:p>
    <w:p w14:paraId="0000010F" w14:textId="77777777" w:rsidR="006E2537" w:rsidRDefault="005B2A41">
      <w:pPr>
        <w:numPr>
          <w:ilvl w:val="0"/>
          <w:numId w:val="6"/>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non si è verificata la circostanza della chiusura in negativo di quattro dei cinque ultimi bilanci (nell’esercizio 2020 si è registrato un utile netto di € 1.251, nel precedente esercizio 2019 l’utile era stato di € 1.479);</w:t>
      </w:r>
    </w:p>
    <w:p w14:paraId="00000110" w14:textId="77777777" w:rsidR="006E2537" w:rsidRDefault="005B2A41">
      <w:pPr>
        <w:numPr>
          <w:ilvl w:val="0"/>
          <w:numId w:val="6"/>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alla luce dell’andamento dei conti della società, non risultano necessari interventi di contenimento dei costi di funzionamento;</w:t>
      </w:r>
    </w:p>
    <w:p w14:paraId="00000111" w14:textId="77777777" w:rsidR="006E2537" w:rsidRDefault="005B2A41">
      <w:pPr>
        <w:numPr>
          <w:ilvl w:val="0"/>
          <w:numId w:val="6"/>
        </w:numPr>
        <w:pBdr>
          <w:top w:val="nil"/>
          <w:left w:val="nil"/>
          <w:bottom w:val="nil"/>
          <w:right w:val="nil"/>
          <w:between w:val="nil"/>
        </w:pBdr>
        <w:ind w:left="0" w:firstLine="709"/>
        <w:jc w:val="both"/>
        <w:rPr>
          <w:rFonts w:ascii="Garamond" w:eastAsia="Garamond" w:hAnsi="Garamond" w:cs="Garamond"/>
          <w:color w:val="000000"/>
          <w:sz w:val="24"/>
          <w:szCs w:val="24"/>
        </w:rPr>
      </w:pPr>
      <w:r>
        <w:rPr>
          <w:rFonts w:ascii="Garamond" w:eastAsia="Garamond" w:hAnsi="Garamond" w:cs="Garamond"/>
          <w:color w:val="000000"/>
          <w:sz w:val="24"/>
          <w:szCs w:val="24"/>
        </w:rPr>
        <w:t>non risultano necessarie aggregazioni societarie, poiché la società ha precipuo scopo, a termine, legato alla gestione di un piano di sviluppo locale finanziato da Regione Lombardia.</w:t>
      </w:r>
    </w:p>
    <w:p w14:paraId="00000112" w14:textId="77777777" w:rsidR="006E2537" w:rsidRDefault="006E2537">
      <w:pPr>
        <w:pBdr>
          <w:top w:val="nil"/>
          <w:left w:val="nil"/>
          <w:bottom w:val="nil"/>
          <w:right w:val="nil"/>
          <w:between w:val="nil"/>
        </w:pBdr>
        <w:jc w:val="both"/>
        <w:rPr>
          <w:rFonts w:ascii="Garamond" w:eastAsia="Garamond" w:hAnsi="Garamond" w:cs="Garamond"/>
          <w:color w:val="000000"/>
          <w:sz w:val="24"/>
          <w:szCs w:val="24"/>
        </w:rPr>
      </w:pPr>
    </w:p>
    <w:p w14:paraId="00000113"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highlight w:val="yellow"/>
        </w:rPr>
      </w:pPr>
    </w:p>
    <w:p w14:paraId="00000114" w14:textId="77777777" w:rsidR="006E2537" w:rsidRDefault="005B2A41">
      <w:pPr>
        <w:pBdr>
          <w:top w:val="nil"/>
          <w:left w:val="nil"/>
          <w:bottom w:val="nil"/>
          <w:right w:val="nil"/>
          <w:between w:val="nil"/>
        </w:pBdr>
        <w:spacing w:after="200"/>
        <w:ind w:firstLine="709"/>
        <w:jc w:val="center"/>
        <w:rPr>
          <w:rFonts w:ascii="Garamond" w:eastAsia="Garamond" w:hAnsi="Garamond" w:cs="Garamond"/>
          <w:color w:val="000000"/>
          <w:sz w:val="24"/>
          <w:szCs w:val="24"/>
        </w:rPr>
      </w:pPr>
      <w:r>
        <w:rPr>
          <w:rFonts w:ascii="Garamond" w:eastAsia="Garamond" w:hAnsi="Garamond" w:cs="Garamond"/>
          <w:b/>
          <w:color w:val="000000"/>
          <w:sz w:val="24"/>
          <w:szCs w:val="24"/>
        </w:rPr>
        <w:t>*   *   *</w:t>
      </w:r>
    </w:p>
    <w:p w14:paraId="00000115" w14:textId="77777777" w:rsidR="006E2537" w:rsidRDefault="006E2537">
      <w:pPr>
        <w:pBdr>
          <w:top w:val="nil"/>
          <w:left w:val="nil"/>
          <w:bottom w:val="nil"/>
          <w:right w:val="nil"/>
          <w:between w:val="nil"/>
        </w:pBdr>
        <w:spacing w:after="200"/>
        <w:ind w:firstLine="709"/>
        <w:jc w:val="center"/>
        <w:rPr>
          <w:rFonts w:ascii="Garamond" w:eastAsia="Garamond" w:hAnsi="Garamond" w:cs="Garamond"/>
          <w:color w:val="000000"/>
          <w:sz w:val="24"/>
          <w:szCs w:val="24"/>
        </w:rPr>
      </w:pPr>
    </w:p>
    <w:p w14:paraId="00000116" w14:textId="77777777" w:rsidR="006E2537" w:rsidRDefault="005B2A41">
      <w:pPr>
        <w:pBdr>
          <w:top w:val="single" w:sz="4" w:space="1" w:color="000000"/>
          <w:left w:val="single" w:sz="4" w:space="4" w:color="000000"/>
          <w:bottom w:val="single" w:sz="4" w:space="1" w:color="000000"/>
          <w:right w:val="single" w:sz="4" w:space="4" w:color="000000"/>
          <w:between w:val="nil"/>
        </w:pBdr>
        <w:ind w:firstLine="709"/>
        <w:jc w:val="center"/>
        <w:rPr>
          <w:rFonts w:ascii="Garamond" w:eastAsia="Garamond" w:hAnsi="Garamond" w:cs="Garamond"/>
          <w:color w:val="000000"/>
          <w:sz w:val="24"/>
          <w:szCs w:val="24"/>
        </w:rPr>
      </w:pPr>
      <w:r>
        <w:rPr>
          <w:rFonts w:ascii="Garamond" w:eastAsia="Garamond" w:hAnsi="Garamond" w:cs="Garamond"/>
          <w:b/>
          <w:color w:val="000000"/>
          <w:sz w:val="24"/>
          <w:szCs w:val="24"/>
          <w:u w:val="single"/>
        </w:rPr>
        <w:t>3. Piano di razionalizzazione.</w:t>
      </w:r>
    </w:p>
    <w:p w14:paraId="00000117"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18" w14:textId="77777777" w:rsidR="006E2537" w:rsidRDefault="005B2A41">
      <w:pPr>
        <w:pBdr>
          <w:top w:val="nil"/>
          <w:left w:val="nil"/>
          <w:bottom w:val="nil"/>
          <w:right w:val="nil"/>
          <w:between w:val="nil"/>
        </w:pBdr>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u w:val="single"/>
        </w:rPr>
        <w:t>3.1 Aggiornamento del piano di razionalizzazione</w:t>
      </w:r>
    </w:p>
    <w:p w14:paraId="00000119"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1A"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Alla luce degli esiti della revisione straordinaria e delle successive revisioni ordinarie delle partecipazioni societarie per gli anni 2018, 2019 e 2020, nonché del grado di attuazione dei connessi piani di razionalizzazione, il Comune individua i seguenti obiettivi di riassetto con scadenza a tendere a fine del 2022:</w:t>
      </w:r>
    </w:p>
    <w:p w14:paraId="0000011B"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1C" w14:textId="77777777" w:rsidR="006E2537" w:rsidRDefault="005B2A41">
      <w:pPr>
        <w:numPr>
          <w:ilvl w:val="0"/>
          <w:numId w:val="2"/>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perfezionamento sul piano societario e pieno avvio sul piano gestionale del conferimento a Consorzio Informatica Territorio S.p.A. del ramo d’azienda operativo di SCRP S.p.A. in liquidazione;</w:t>
      </w:r>
    </w:p>
    <w:p w14:paraId="0000011D" w14:textId="77777777" w:rsidR="006E2537" w:rsidRDefault="005B2A41">
      <w:pPr>
        <w:numPr>
          <w:ilvl w:val="0"/>
          <w:numId w:val="2"/>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a seguito dello scioglimento di SCRP S.p.A., assegnazione delle partecipazioni sociali di Consorzio Informatica Territorio S.p.A. ai Comuni nella medesima quota percentuale da essi attualmente detenuta in SCRP S.p.A. in liquidazione;</w:t>
      </w:r>
    </w:p>
    <w:p w14:paraId="0000011E" w14:textId="77777777" w:rsidR="006E2537" w:rsidRDefault="005B2A41">
      <w:pPr>
        <w:numPr>
          <w:ilvl w:val="0"/>
          <w:numId w:val="2"/>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eventuale successivo aumento del capitale di Consorzio Informatica Territorio, con azioni di nuova emissione, per consentire l’ingresso nella compagine sociale agli enti già soci di Padania Acque, ma non di SCRP, nella prospettiva di procedere ad ulteriori affidamenti “in house” alla società;</w:t>
      </w:r>
    </w:p>
    <w:p w14:paraId="0000011F" w14:textId="77777777" w:rsidR="006E2537" w:rsidRDefault="005B2A41">
      <w:pPr>
        <w:numPr>
          <w:ilvl w:val="0"/>
          <w:numId w:val="2"/>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con riguardo a SCRP S.p.A. in liq</w:t>
      </w:r>
      <w:r>
        <w:rPr>
          <w:rFonts w:ascii="Garamond" w:eastAsia="Garamond" w:hAnsi="Garamond" w:cs="Garamond"/>
          <w:color w:val="000000"/>
          <w:sz w:val="24"/>
          <w:szCs w:val="24"/>
          <w:highlight w:val="white"/>
        </w:rPr>
        <w:t>uidazione, in esecuzione dei deliberati societari dianzi richiamati, compimento d’</w:t>
      </w:r>
      <w:r>
        <w:rPr>
          <w:rFonts w:ascii="Garamond" w:eastAsia="Garamond" w:hAnsi="Garamond" w:cs="Garamond"/>
          <w:color w:val="000000"/>
          <w:sz w:val="24"/>
          <w:szCs w:val="24"/>
        </w:rPr>
        <w:t>ogni ulteriore necessario atto, mediante SCS s.r.l., in funzione del legittimo perfezionamento sul piano societario della fusione tra LGH ed A2A, nonché del concreto avvio delle forme di concertazione e rappresentanza territoriale costituite dal Comitato Territorio e dalla Fondazione LGH, nonché dall’implementazione del patto parasociale con le società originarie socie di LGH;</w:t>
      </w:r>
    </w:p>
    <w:p w14:paraId="00000120" w14:textId="77777777" w:rsidR="006E2537" w:rsidRDefault="005B2A41">
      <w:pPr>
        <w:numPr>
          <w:ilvl w:val="0"/>
          <w:numId w:val="2"/>
        </w:numPr>
        <w:pBdr>
          <w:top w:val="nil"/>
          <w:left w:val="nil"/>
          <w:bottom w:val="nil"/>
          <w:right w:val="nil"/>
          <w:between w:val="nil"/>
        </w:pBdr>
        <w:ind w:left="0" w:firstLine="709"/>
        <w:jc w:val="both"/>
        <w:rPr>
          <w:color w:val="000000"/>
        </w:rPr>
      </w:pPr>
      <w:r>
        <w:rPr>
          <w:rFonts w:ascii="Garamond" w:eastAsia="Garamond" w:hAnsi="Garamond" w:cs="Garamond"/>
          <w:color w:val="000000"/>
          <w:sz w:val="24"/>
          <w:szCs w:val="24"/>
        </w:rPr>
        <w:t xml:space="preserve">con riferimento a REI, elaborazione e presentazione ai soci di una proposta, anche eventualmente consistente nella revisione dell’odierno </w:t>
      </w:r>
      <w:r>
        <w:rPr>
          <w:rFonts w:ascii="Garamond" w:eastAsia="Garamond" w:hAnsi="Garamond" w:cs="Garamond"/>
          <w:color w:val="000000"/>
          <w:sz w:val="24"/>
          <w:szCs w:val="24"/>
        </w:rPr>
        <w:lastRenderedPageBreak/>
        <w:t xml:space="preserve">statuto e </w:t>
      </w:r>
      <w:r>
        <w:rPr>
          <w:rFonts w:ascii="Garamond" w:eastAsia="Garamond" w:hAnsi="Garamond" w:cs="Garamond"/>
          <w:i/>
          <w:color w:val="000000"/>
          <w:sz w:val="24"/>
          <w:szCs w:val="24"/>
        </w:rPr>
        <w:t>status</w:t>
      </w:r>
      <w:r>
        <w:rPr>
          <w:rFonts w:ascii="Garamond" w:eastAsia="Garamond" w:hAnsi="Garamond" w:cs="Garamond"/>
          <w:color w:val="000000"/>
          <w:sz w:val="24"/>
          <w:szCs w:val="24"/>
        </w:rPr>
        <w:t xml:space="preserve"> della società, che abbia ad oggetto l’aggregazione con sinergiche realtà del territorio ovvero, in alternativa, lo sviluppo in autonomia di REI, al fine di garantire il consolidamento economico della società.</w:t>
      </w:r>
    </w:p>
    <w:p w14:paraId="00000121"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22" w14:textId="77777777" w:rsidR="006E2537" w:rsidRDefault="005B2A41">
      <w:pPr>
        <w:pBdr>
          <w:top w:val="nil"/>
          <w:left w:val="nil"/>
          <w:bottom w:val="nil"/>
          <w:right w:val="nil"/>
          <w:between w:val="nil"/>
        </w:pBdr>
        <w:ind w:firstLine="709"/>
        <w:jc w:val="center"/>
        <w:rPr>
          <w:rFonts w:ascii="Garamond" w:eastAsia="Garamond" w:hAnsi="Garamond" w:cs="Garamond"/>
          <w:color w:val="000000"/>
          <w:sz w:val="24"/>
          <w:szCs w:val="24"/>
        </w:rPr>
      </w:pPr>
      <w:r>
        <w:rPr>
          <w:rFonts w:ascii="Garamond" w:eastAsia="Garamond" w:hAnsi="Garamond" w:cs="Garamond"/>
          <w:color w:val="000000"/>
          <w:sz w:val="24"/>
          <w:szCs w:val="24"/>
        </w:rPr>
        <w:t>* * *</w:t>
      </w:r>
    </w:p>
    <w:p w14:paraId="00000123" w14:textId="77777777" w:rsidR="006E2537" w:rsidRDefault="006E2537">
      <w:pPr>
        <w:pBdr>
          <w:top w:val="nil"/>
          <w:left w:val="nil"/>
          <w:bottom w:val="nil"/>
          <w:right w:val="nil"/>
          <w:between w:val="nil"/>
        </w:pBdr>
        <w:ind w:firstLine="709"/>
        <w:jc w:val="center"/>
        <w:rPr>
          <w:rFonts w:ascii="Garamond" w:eastAsia="Garamond" w:hAnsi="Garamond" w:cs="Garamond"/>
          <w:color w:val="000000"/>
          <w:sz w:val="24"/>
          <w:szCs w:val="24"/>
        </w:rPr>
      </w:pPr>
    </w:p>
    <w:p w14:paraId="00000124" w14:textId="77777777" w:rsidR="006E2537" w:rsidRDefault="005B2A41">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u w:val="single"/>
        </w:rPr>
        <w:t>3.2. – Relazione sull’attuazione del precedente piano di razionalizzazione</w:t>
      </w:r>
    </w:p>
    <w:p w14:paraId="00000125"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26" w14:textId="77777777" w:rsidR="006E2537" w:rsidRDefault="005B2A41">
      <w:pPr>
        <w:pBdr>
          <w:top w:val="nil"/>
          <w:left w:val="nil"/>
          <w:bottom w:val="nil"/>
          <w:right w:val="nil"/>
          <w:between w:val="nil"/>
        </w:pBdr>
        <w:ind w:firstLine="709"/>
        <w:jc w:val="both"/>
        <w:rPr>
          <w:rFonts w:ascii="Garamond" w:eastAsia="Garamond" w:hAnsi="Garamond" w:cs="Garamond"/>
          <w:color w:val="000000"/>
          <w:sz w:val="24"/>
          <w:szCs w:val="24"/>
        </w:rPr>
      </w:pPr>
      <w:r>
        <w:rPr>
          <w:rFonts w:ascii="Garamond" w:eastAsia="Garamond" w:hAnsi="Garamond" w:cs="Garamond"/>
          <w:color w:val="000000"/>
          <w:sz w:val="24"/>
          <w:szCs w:val="24"/>
        </w:rPr>
        <w:tab/>
        <w:t>Gli obiettivi assunti nell’ambito della revisione ordinaria dell’anno 2020 risultano in buona parte raggiunti:</w:t>
      </w:r>
    </w:p>
    <w:p w14:paraId="00000127" w14:textId="77777777" w:rsidR="006E2537" w:rsidRDefault="006E2537">
      <w:pPr>
        <w:pBdr>
          <w:top w:val="nil"/>
          <w:left w:val="nil"/>
          <w:bottom w:val="nil"/>
          <w:right w:val="nil"/>
          <w:between w:val="nil"/>
        </w:pBdr>
        <w:ind w:firstLine="709"/>
        <w:jc w:val="both"/>
        <w:rPr>
          <w:rFonts w:ascii="Garamond" w:eastAsia="Garamond" w:hAnsi="Garamond" w:cs="Garamond"/>
          <w:color w:val="000000"/>
          <w:sz w:val="24"/>
          <w:szCs w:val="24"/>
        </w:rPr>
      </w:pPr>
    </w:p>
    <w:p w14:paraId="00000128" w14:textId="77777777" w:rsidR="006E2537" w:rsidRDefault="005B2A41">
      <w:pPr>
        <w:numPr>
          <w:ilvl w:val="0"/>
          <w:numId w:val="3"/>
        </w:numPr>
        <w:pBdr>
          <w:top w:val="nil"/>
          <w:left w:val="nil"/>
          <w:bottom w:val="nil"/>
          <w:right w:val="nil"/>
          <w:between w:val="nil"/>
        </w:pBdr>
        <w:jc w:val="both"/>
        <w:rPr>
          <w:color w:val="000000"/>
        </w:rPr>
      </w:pPr>
      <w:r>
        <w:rPr>
          <w:rFonts w:ascii="Garamond" w:eastAsia="Garamond" w:hAnsi="Garamond" w:cs="Garamond"/>
          <w:color w:val="000000"/>
          <w:sz w:val="24"/>
          <w:szCs w:val="24"/>
        </w:rPr>
        <w:t>Consorzio Informatica Territorio S.p.A. ha concretamente dato corso alle modificate e rafforzate modalità di esercizio del controllo analogo congiunto riconosciute ai Comuni indirettamente soci;</w:t>
      </w:r>
    </w:p>
    <w:p w14:paraId="00000129" w14:textId="77777777" w:rsidR="006E2537" w:rsidRDefault="005B2A41">
      <w:pPr>
        <w:numPr>
          <w:ilvl w:val="0"/>
          <w:numId w:val="3"/>
        </w:numPr>
        <w:pBdr>
          <w:top w:val="nil"/>
          <w:left w:val="nil"/>
          <w:bottom w:val="nil"/>
          <w:right w:val="nil"/>
          <w:between w:val="nil"/>
        </w:pBdr>
        <w:jc w:val="both"/>
        <w:rPr>
          <w:color w:val="000000"/>
        </w:rPr>
      </w:pPr>
      <w:r>
        <w:rPr>
          <w:rFonts w:ascii="Garamond" w:eastAsia="Garamond" w:hAnsi="Garamond" w:cs="Garamond"/>
          <w:color w:val="000000"/>
          <w:sz w:val="24"/>
          <w:szCs w:val="24"/>
        </w:rPr>
        <w:t>risulta pienamente in corso e prossima alla conclusione l’attività dell’esperto nominato per la valutazione del ramo d’azienda operativo di SCRP S.p.A. in liquidazione, adempimento presupposto al successivo conferimento in Consorzio Informatica Territorio S.p.A.;</w:t>
      </w:r>
    </w:p>
    <w:p w14:paraId="0000012A" w14:textId="77777777" w:rsidR="006E2537" w:rsidRDefault="005B2A41">
      <w:pPr>
        <w:numPr>
          <w:ilvl w:val="0"/>
          <w:numId w:val="3"/>
        </w:numPr>
        <w:pBdr>
          <w:top w:val="nil"/>
          <w:left w:val="nil"/>
          <w:bottom w:val="nil"/>
          <w:right w:val="nil"/>
          <w:between w:val="nil"/>
        </w:pBdr>
        <w:jc w:val="both"/>
        <w:rPr>
          <w:color w:val="000000"/>
        </w:rPr>
      </w:pPr>
      <w:r>
        <w:rPr>
          <w:rFonts w:ascii="Garamond" w:eastAsia="Garamond" w:hAnsi="Garamond" w:cs="Garamond"/>
          <w:color w:val="000000"/>
          <w:sz w:val="24"/>
          <w:szCs w:val="24"/>
        </w:rPr>
        <w:t>la conclusione dell’iter di liquidazione di SCRP S.p.A. è strettamente legata all’andamento del contenzioso sul recesso di taluni Comuni soci, per il quale pende l’impugnativa avanti alla Corte d’Appello di Brescia contro il lodo arbitrale non favorevole a SCRP S.p.A.;</w:t>
      </w:r>
    </w:p>
    <w:p w14:paraId="0000012B" w14:textId="77777777" w:rsidR="006E2537" w:rsidRDefault="005B2A41">
      <w:pPr>
        <w:numPr>
          <w:ilvl w:val="0"/>
          <w:numId w:val="3"/>
        </w:numPr>
        <w:pBdr>
          <w:top w:val="nil"/>
          <w:left w:val="nil"/>
          <w:bottom w:val="nil"/>
          <w:right w:val="nil"/>
          <w:between w:val="nil"/>
        </w:pBdr>
        <w:jc w:val="both"/>
        <w:rPr>
          <w:color w:val="000000"/>
        </w:rPr>
      </w:pPr>
      <w:r>
        <w:rPr>
          <w:rFonts w:ascii="Garamond" w:eastAsia="Garamond" w:hAnsi="Garamond" w:cs="Garamond"/>
          <w:color w:val="000000"/>
          <w:sz w:val="24"/>
          <w:szCs w:val="24"/>
        </w:rPr>
        <w:t xml:space="preserve">con riguardo a REI, non ha invece avuto corso la possibile acquisizione del ramo d’azienda di </w:t>
      </w:r>
      <w:proofErr w:type="spellStart"/>
      <w:r>
        <w:rPr>
          <w:rFonts w:ascii="Garamond" w:eastAsia="Garamond" w:hAnsi="Garamond" w:cs="Garamond"/>
          <w:color w:val="000000"/>
          <w:sz w:val="24"/>
          <w:szCs w:val="24"/>
        </w:rPr>
        <w:t>Servimpresa</w:t>
      </w:r>
      <w:proofErr w:type="spellEnd"/>
      <w:r>
        <w:rPr>
          <w:rFonts w:ascii="Garamond" w:eastAsia="Garamond" w:hAnsi="Garamond" w:cs="Garamond"/>
          <w:color w:val="000000"/>
          <w:sz w:val="24"/>
          <w:szCs w:val="24"/>
        </w:rPr>
        <w:t xml:space="preserve">, un’azienda speciale controllata dalla Camera di Commercio di Cremona, che opera con gli accreditamenti al lavoro e alla formazione, attività che sarebbe complementare e fortemente arricchente il portfolio di REI, sennonché alla luce delle considerazioni espresse dalla Sezione Regionale di Controllo per la Lombardia della Corte dei Conti, con parere n. 199, del 2.7.2018,  si ritiene tuttavia che la dismissione </w:t>
      </w:r>
      <w:r>
        <w:rPr>
          <w:rFonts w:ascii="Garamond" w:eastAsia="Garamond" w:hAnsi="Garamond" w:cs="Garamond"/>
          <w:i/>
          <w:color w:val="000000"/>
          <w:sz w:val="24"/>
          <w:szCs w:val="24"/>
        </w:rPr>
        <w:t xml:space="preserve">tout court </w:t>
      </w:r>
      <w:r>
        <w:rPr>
          <w:rFonts w:ascii="Garamond" w:eastAsia="Garamond" w:hAnsi="Garamond" w:cs="Garamond"/>
          <w:color w:val="000000"/>
          <w:sz w:val="24"/>
          <w:szCs w:val="24"/>
        </w:rPr>
        <w:t>della partecipazione non possa costituire un automatismo a fronte della criticità riscontrata relativamente alla sola soglia del fatturato, a maggior ragione tenuto conto dei compiti svolti da REI, che opera quale soggetto facilitatore del finanziamento pubblico di progetti, non già quale diretto realizzatore.</w:t>
      </w:r>
    </w:p>
    <w:p w14:paraId="0000012C" w14:textId="77777777" w:rsidR="006E2537" w:rsidRDefault="006E2537">
      <w:pPr>
        <w:pBdr>
          <w:top w:val="nil"/>
          <w:left w:val="nil"/>
          <w:bottom w:val="nil"/>
          <w:right w:val="nil"/>
          <w:between w:val="nil"/>
        </w:pBdr>
        <w:jc w:val="both"/>
        <w:rPr>
          <w:rFonts w:ascii="Garamond" w:eastAsia="Garamond" w:hAnsi="Garamond" w:cs="Garamond"/>
          <w:color w:val="000000"/>
          <w:sz w:val="22"/>
          <w:szCs w:val="22"/>
        </w:rPr>
      </w:pPr>
    </w:p>
    <w:p w14:paraId="0000012D" w14:textId="77777777" w:rsidR="006E2537" w:rsidRDefault="006E2537">
      <w:pPr>
        <w:pBdr>
          <w:top w:val="nil"/>
          <w:left w:val="nil"/>
          <w:bottom w:val="nil"/>
          <w:right w:val="nil"/>
          <w:between w:val="nil"/>
        </w:pBdr>
        <w:jc w:val="both"/>
        <w:rPr>
          <w:rFonts w:ascii="Calibri" w:eastAsia="Calibri" w:hAnsi="Calibri" w:cs="Calibri"/>
          <w:color w:val="000000"/>
          <w:sz w:val="22"/>
          <w:szCs w:val="22"/>
        </w:rPr>
      </w:pPr>
    </w:p>
    <w:sectPr w:rsidR="006E2537">
      <w:headerReference w:type="even" r:id="rId8"/>
      <w:headerReference w:type="default" r:id="rId9"/>
      <w:footerReference w:type="even" r:id="rId10"/>
      <w:footerReference w:type="default" r:id="rId11"/>
      <w:headerReference w:type="first" r:id="rId12"/>
      <w:footerReference w:type="first" r:id="rId13"/>
      <w:pgSz w:w="11906" w:h="16838"/>
      <w:pgMar w:top="1247" w:right="2268" w:bottom="1361" w:left="22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96FB" w14:textId="77777777" w:rsidR="008F3C26" w:rsidRDefault="008F3C26">
      <w:r>
        <w:separator/>
      </w:r>
    </w:p>
  </w:endnote>
  <w:endnote w:type="continuationSeparator" w:id="0">
    <w:p w14:paraId="0C02714C" w14:textId="77777777" w:rsidR="008F3C26" w:rsidRDefault="008F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Lustri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F052" w14:textId="77777777" w:rsidR="00F20F55" w:rsidRDefault="00F20F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77795BC7" w:rsidR="006E2537" w:rsidRDefault="005B2A41">
    <w:pPr>
      <w:pBdr>
        <w:top w:val="nil"/>
        <w:left w:val="nil"/>
        <w:bottom w:val="nil"/>
        <w:right w:val="nil"/>
        <w:between w:val="nil"/>
      </w:pBdr>
      <w:tabs>
        <w:tab w:val="center" w:pos="4819"/>
        <w:tab w:val="right" w:pos="9638"/>
      </w:tabs>
      <w:spacing w:after="200" w:line="276" w:lineRule="auto"/>
      <w:jc w:val="center"/>
      <w:rPr>
        <w:rFonts w:ascii="Calibri" w:eastAsia="Calibri" w:hAnsi="Calibri" w:cs="Calibri"/>
        <w:color w:val="000000"/>
        <w:sz w:val="22"/>
        <w:szCs w:val="22"/>
      </w:rPr>
    </w:pPr>
    <w:r>
      <w:rPr>
        <w:rFonts w:ascii="Lustria" w:eastAsia="Lustria" w:hAnsi="Lustria" w:cs="Lustria"/>
        <w:color w:val="000000"/>
        <w:sz w:val="18"/>
        <w:szCs w:val="18"/>
      </w:rPr>
      <w:fldChar w:fldCharType="begin"/>
    </w:r>
    <w:r>
      <w:rPr>
        <w:rFonts w:ascii="Lustria" w:eastAsia="Lustria" w:hAnsi="Lustria" w:cs="Lustria"/>
        <w:color w:val="000000"/>
        <w:sz w:val="18"/>
        <w:szCs w:val="18"/>
      </w:rPr>
      <w:instrText>PAGE</w:instrText>
    </w:r>
    <w:r>
      <w:rPr>
        <w:rFonts w:ascii="Lustria" w:eastAsia="Lustria" w:hAnsi="Lustria" w:cs="Lustria"/>
        <w:color w:val="000000"/>
        <w:sz w:val="18"/>
        <w:szCs w:val="18"/>
      </w:rPr>
      <w:fldChar w:fldCharType="separate"/>
    </w:r>
    <w:r w:rsidR="00F20F55">
      <w:rPr>
        <w:rFonts w:ascii="Lustria" w:eastAsia="Lustria" w:hAnsi="Lustria" w:cs="Lustria"/>
        <w:noProof/>
        <w:color w:val="000000"/>
        <w:sz w:val="18"/>
        <w:szCs w:val="18"/>
      </w:rPr>
      <w:t>1</w:t>
    </w:r>
    <w:r>
      <w:rPr>
        <w:rFonts w:ascii="Lustria" w:eastAsia="Lustria" w:hAnsi="Lustria" w:cs="Lustria"/>
        <w:color w:val="000000"/>
        <w:sz w:val="18"/>
        <w:szCs w:val="18"/>
      </w:rPr>
      <w:fldChar w:fldCharType="end"/>
    </w:r>
    <w:r>
      <w:rPr>
        <w:rFonts w:ascii="Lustria" w:eastAsia="Lustria" w:hAnsi="Lustria" w:cs="Lustria"/>
        <w:color w:val="000000"/>
        <w:sz w:val="18"/>
        <w:szCs w:val="18"/>
      </w:rPr>
      <w:t xml:space="preserve"> – Relazione periodica ex art. 20 D. Lgs. 175/2016 – Comune di </w:t>
    </w:r>
    <w:r w:rsidR="00F20F55">
      <w:rPr>
        <w:rFonts w:ascii="Lustria" w:eastAsia="Lustria" w:hAnsi="Lustria" w:cs="Lustria"/>
        <w:color w:val="000000"/>
        <w:sz w:val="18"/>
        <w:szCs w:val="18"/>
      </w:rPr>
      <w:t>Madignano</w:t>
    </w:r>
  </w:p>
  <w:p w14:paraId="00000130" w14:textId="77777777" w:rsidR="006E2537" w:rsidRDefault="006E2537">
    <w:pPr>
      <w:pBdr>
        <w:top w:val="nil"/>
        <w:left w:val="nil"/>
        <w:bottom w:val="nil"/>
        <w:right w:val="nil"/>
        <w:between w:val="nil"/>
      </w:pBdr>
      <w:tabs>
        <w:tab w:val="center" w:pos="4819"/>
        <w:tab w:val="right" w:pos="9638"/>
      </w:tabs>
      <w:spacing w:after="200" w:line="276" w:lineRule="auto"/>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D0BF" w14:textId="77777777" w:rsidR="00F20F55" w:rsidRDefault="00F20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9726" w14:textId="77777777" w:rsidR="008F3C26" w:rsidRDefault="008F3C26">
      <w:r>
        <w:separator/>
      </w:r>
    </w:p>
  </w:footnote>
  <w:footnote w:type="continuationSeparator" w:id="0">
    <w:p w14:paraId="44B7E10F" w14:textId="77777777" w:rsidR="008F3C26" w:rsidRDefault="008F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8CDF" w14:textId="77777777" w:rsidR="00F20F55" w:rsidRDefault="00F20F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01E6AC21" w:rsidR="006E2537" w:rsidRDefault="005B2A41">
    <w:pPr>
      <w:pBdr>
        <w:top w:val="nil"/>
        <w:left w:val="nil"/>
        <w:bottom w:val="nil"/>
        <w:right w:val="nil"/>
        <w:between w:val="nil"/>
      </w:pBdr>
      <w:tabs>
        <w:tab w:val="center" w:pos="4819"/>
        <w:tab w:val="right" w:pos="9638"/>
      </w:tabs>
      <w:spacing w:after="200" w:line="276" w:lineRule="auto"/>
      <w:jc w:val="center"/>
      <w:rPr>
        <w:rFonts w:ascii="Calibri" w:eastAsia="Calibri" w:hAnsi="Calibri" w:cs="Calibri"/>
        <w:color w:val="000000"/>
        <w:sz w:val="22"/>
        <w:szCs w:val="22"/>
      </w:rPr>
    </w:pPr>
    <w:r>
      <w:rPr>
        <w:rFonts w:ascii="Open Sans" w:eastAsia="Open Sans" w:hAnsi="Open Sans" w:cs="Open Sans"/>
        <w:color w:val="000000"/>
        <w:sz w:val="36"/>
        <w:szCs w:val="36"/>
      </w:rPr>
      <w:t xml:space="preserve">COMUNE   DI   </w:t>
    </w:r>
    <w:r w:rsidR="00F20F55">
      <w:rPr>
        <w:rFonts w:ascii="Open Sans" w:eastAsia="Open Sans" w:hAnsi="Open Sans" w:cs="Open Sans"/>
        <w:color w:val="000000"/>
        <w:sz w:val="36"/>
        <w:szCs w:val="36"/>
      </w:rPr>
      <w:t>MADIGNANO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9387" w14:textId="77777777" w:rsidR="00F20F55" w:rsidRDefault="00F20F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536"/>
    <w:multiLevelType w:val="multilevel"/>
    <w:tmpl w:val="8C9CAC4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4C0E61"/>
    <w:multiLevelType w:val="multilevel"/>
    <w:tmpl w:val="96F4AA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4E5D13"/>
    <w:multiLevelType w:val="multilevel"/>
    <w:tmpl w:val="EF30BADA"/>
    <w:lvl w:ilvl="0">
      <w:start w:val="1"/>
      <w:numFmt w:val="lowerLetter"/>
      <w:lvlText w:val="%1)"/>
      <w:lvlJc w:val="left"/>
      <w:pPr>
        <w:ind w:left="720" w:hanging="360"/>
      </w:pPr>
      <w:rPr>
        <w:rFonts w:ascii="Garamond" w:eastAsia="Garamond" w:hAnsi="Garamond" w:cs="Garamond"/>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190773"/>
    <w:multiLevelType w:val="multilevel"/>
    <w:tmpl w:val="EFA426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0958A6"/>
    <w:multiLevelType w:val="multilevel"/>
    <w:tmpl w:val="5CDCCDAE"/>
    <w:lvl w:ilvl="0">
      <w:start w:val="1"/>
      <w:numFmt w:val="lowerLetter"/>
      <w:lvlText w:val="%1)"/>
      <w:lvlJc w:val="left"/>
      <w:pPr>
        <w:ind w:left="720" w:hanging="360"/>
      </w:pPr>
      <w:rPr>
        <w:rFonts w:ascii="Garamond" w:eastAsia="Garamond" w:hAnsi="Garamond" w:cs="Garamond"/>
        <w:b/>
        <w:i/>
        <w:sz w:val="24"/>
        <w:szCs w:val="24"/>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DA54978"/>
    <w:multiLevelType w:val="multilevel"/>
    <w:tmpl w:val="73D8A654"/>
    <w:lvl w:ilvl="0">
      <w:start w:val="1"/>
      <w:numFmt w:val="bullet"/>
      <w:lvlText w:val="-"/>
      <w:lvlJc w:val="left"/>
      <w:pPr>
        <w:ind w:left="720" w:hanging="360"/>
      </w:pPr>
      <w:rPr>
        <w:rFonts w:ascii="Arial Narrow" w:eastAsia="Arial Narrow" w:hAnsi="Arial Narrow" w:cs="Arial Narro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4AA2972"/>
    <w:multiLevelType w:val="multilevel"/>
    <w:tmpl w:val="6DC23C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CED001B"/>
    <w:multiLevelType w:val="multilevel"/>
    <w:tmpl w:val="5090FD9E"/>
    <w:lvl w:ilvl="0">
      <w:start w:val="1"/>
      <w:numFmt w:val="lowerRoman"/>
      <w:lvlText w:val="(%1)"/>
      <w:lvlJc w:val="left"/>
      <w:pPr>
        <w:ind w:left="1428" w:hanging="719"/>
      </w:pPr>
      <w:rPr>
        <w:rFonts w:ascii="Garamond" w:eastAsia="Garamond" w:hAnsi="Garamond" w:cs="Garamond"/>
        <w:b/>
        <w:i/>
        <w:sz w:val="24"/>
        <w:szCs w:val="24"/>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449A0872"/>
    <w:multiLevelType w:val="multilevel"/>
    <w:tmpl w:val="5A002726"/>
    <w:lvl w:ilvl="0">
      <w:start w:val="1"/>
      <w:numFmt w:val="lowerLetter"/>
      <w:lvlText w:val="%1)"/>
      <w:lvlJc w:val="left"/>
      <w:pPr>
        <w:ind w:left="1080" w:hanging="360"/>
      </w:pPr>
      <w:rPr>
        <w:rFonts w:ascii="Garamond" w:eastAsia="Garamond" w:hAnsi="Garamond" w:cs="Garamond"/>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48122FE1"/>
    <w:multiLevelType w:val="multilevel"/>
    <w:tmpl w:val="02E44FF8"/>
    <w:lvl w:ilvl="0">
      <w:start w:val="1"/>
      <w:numFmt w:val="lowerLetter"/>
      <w:lvlText w:val="%1)"/>
      <w:lvlJc w:val="left"/>
      <w:pPr>
        <w:ind w:left="1080" w:hanging="360"/>
      </w:pPr>
      <w:rPr>
        <w:rFonts w:ascii="Garamond" w:eastAsia="Garamond" w:hAnsi="Garamond" w:cs="Garamond"/>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5"/>
  </w:num>
  <w:num w:numId="2">
    <w:abstractNumId w:val="7"/>
  </w:num>
  <w:num w:numId="3">
    <w:abstractNumId w:val="4"/>
  </w:num>
  <w:num w:numId="4">
    <w:abstractNumId w:val="1"/>
  </w:num>
  <w:num w:numId="5">
    <w:abstractNumId w:val="8"/>
  </w:num>
  <w:num w:numId="6">
    <w:abstractNumId w:val="3"/>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37"/>
    <w:rsid w:val="00057F89"/>
    <w:rsid w:val="003B1B3A"/>
    <w:rsid w:val="00514D4A"/>
    <w:rsid w:val="005B2A41"/>
    <w:rsid w:val="00604C82"/>
    <w:rsid w:val="006E2537"/>
    <w:rsid w:val="00773A48"/>
    <w:rsid w:val="007D1098"/>
    <w:rsid w:val="007D183E"/>
    <w:rsid w:val="008F3C26"/>
    <w:rsid w:val="00F20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2C97"/>
  <w15:docId w15:val="{F55B1AAA-0CE5-49C5-B1A3-E77FCA8D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F20F55"/>
    <w:pPr>
      <w:tabs>
        <w:tab w:val="center" w:pos="4819"/>
        <w:tab w:val="right" w:pos="9638"/>
      </w:tabs>
    </w:pPr>
  </w:style>
  <w:style w:type="character" w:customStyle="1" w:styleId="IntestazioneCarattere">
    <w:name w:val="Intestazione Carattere"/>
    <w:basedOn w:val="Carpredefinitoparagrafo"/>
    <w:link w:val="Intestazione"/>
    <w:uiPriority w:val="99"/>
    <w:rsid w:val="00F20F55"/>
  </w:style>
  <w:style w:type="paragraph" w:styleId="Pidipagina">
    <w:name w:val="footer"/>
    <w:basedOn w:val="Normale"/>
    <w:link w:val="PidipaginaCarattere"/>
    <w:uiPriority w:val="99"/>
    <w:unhideWhenUsed/>
    <w:rsid w:val="00F20F55"/>
    <w:pPr>
      <w:tabs>
        <w:tab w:val="center" w:pos="4819"/>
        <w:tab w:val="right" w:pos="9638"/>
      </w:tabs>
    </w:pPr>
  </w:style>
  <w:style w:type="character" w:customStyle="1" w:styleId="PidipaginaCarattere">
    <w:name w:val="Piè di pagina Carattere"/>
    <w:basedOn w:val="Carpredefinitoparagrafo"/>
    <w:link w:val="Pidipagina"/>
    <w:uiPriority w:val="99"/>
    <w:rsid w:val="00F2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settiegatti.eu/info/norme/statali/2011_0148.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5820</Words>
  <Characters>33176</Characters>
  <Application>Microsoft Office Word</Application>
  <DocSecurity>0</DocSecurity>
  <Lines>276</Lines>
  <Paragraphs>77</Paragraphs>
  <ScaleCrop>false</ScaleCrop>
  <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Bettinelli</dc:creator>
  <cp:lastModifiedBy>Antonio Bettinelli</cp:lastModifiedBy>
  <cp:revision>2</cp:revision>
  <dcterms:created xsi:type="dcterms:W3CDTF">2021-12-18T07:08:00Z</dcterms:created>
  <dcterms:modified xsi:type="dcterms:W3CDTF">2021-12-18T07:08:00Z</dcterms:modified>
</cp:coreProperties>
</file>